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4060" w:right="2480" w:hanging="4055"/>
        <w:spacing w:after="0" w:line="539" w:lineRule="auto"/>
        <w:tabs>
          <w:tab w:leader="none" w:pos="21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2021</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8" w:lineRule="exact"/>
        <w:rPr>
          <w:sz w:val="24"/>
          <w:szCs w:val="24"/>
          <w:color w:val="auto"/>
        </w:rPr>
      </w:pPr>
    </w:p>
    <w:p>
      <w:pPr>
        <w:ind w:left="3720" w:right="2120" w:hanging="3715"/>
        <w:spacing w:after="0" w:line="280" w:lineRule="auto"/>
        <w:tabs>
          <w:tab w:leader="none" w:pos="208"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tbl>
      <w:tblPr>
        <w:tblLayout w:type="fixed"/>
        <w:tblInd w:w="66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3"/>
              </w:rPr>
              <w:t>Commission File Number 001-38434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81"/>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2"/>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gridSpan w:val="4"/>
          </w:tcPr>
          <w:p>
            <w:pPr>
              <w:jc w:val="center"/>
              <w:ind w:right="200"/>
              <w:spacing w:after="0"/>
              <w:rPr>
                <w:sz w:val="20"/>
                <w:szCs w:val="20"/>
                <w:color w:val="auto"/>
              </w:rPr>
            </w:pPr>
            <w:r>
              <w:rPr>
                <w:rFonts w:ascii="Arial" w:cs="Arial" w:eastAsia="Arial" w:hAnsi="Arial"/>
                <w:sz w:val="35"/>
                <w:szCs w:val="35"/>
                <w:b w:val="1"/>
                <w:bCs w:val="1"/>
                <w:color w:val="auto"/>
                <w:w w:val="92"/>
              </w:rPr>
              <w:t>Dropbox, Inc.</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8"/>
        </w:trPr>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617"/>
        </w:trPr>
        <w:tc>
          <w:tcPr>
            <w:tcW w:w="1120" w:type="dxa"/>
            <w:vAlign w:val="bottom"/>
          </w:tcPr>
          <w:p>
            <w:pPr>
              <w:spacing w:after="0"/>
              <w:rPr>
                <w:sz w:val="24"/>
                <w:szCs w:val="24"/>
                <w:color w:val="auto"/>
              </w:rPr>
            </w:pPr>
          </w:p>
        </w:tc>
        <w:tc>
          <w:tcPr>
            <w:tcW w:w="208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Delaware</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3"/>
          </w:tcPr>
          <w:p>
            <w:pPr>
              <w:jc w:val="center"/>
              <w:ind w:left="190"/>
              <w:spacing w:after="0"/>
              <w:rPr>
                <w:sz w:val="20"/>
                <w:szCs w:val="20"/>
                <w:color w:val="auto"/>
              </w:rPr>
            </w:pPr>
            <w:r>
              <w:rPr>
                <w:rFonts w:ascii="Arial" w:cs="Arial" w:eastAsia="Arial" w:hAnsi="Arial"/>
                <w:sz w:val="14"/>
                <w:szCs w:val="14"/>
                <w:b w:val="1"/>
                <w:bCs w:val="1"/>
                <w:color w:val="auto"/>
                <w:w w:val="90"/>
              </w:rPr>
              <w:t>26-0138832</w:t>
            </w:r>
          </w:p>
        </w:tc>
        <w:tc>
          <w:tcPr>
            <w:tcW w:w="500" w:type="dxa"/>
            <w:vAlign w:val="bottom"/>
          </w:tcPr>
          <w:p>
            <w:pPr>
              <w:spacing w:after="0"/>
              <w:rPr>
                <w:sz w:val="24"/>
                <w:szCs w:val="24"/>
                <w:color w:val="auto"/>
              </w:rPr>
            </w:pPr>
          </w:p>
        </w:tc>
      </w:tr>
      <w:tr>
        <w:trPr>
          <w:trHeight w:val="142"/>
        </w:trPr>
        <w:tc>
          <w:tcPr>
            <w:tcW w:w="3200" w:type="dxa"/>
            <w:vAlign w:val="bottom"/>
            <w:gridSpan w:val="4"/>
          </w:tcPr>
          <w:p>
            <w:pPr>
              <w:jc w:val="center"/>
              <w:ind w:left="50"/>
              <w:spacing w:after="0" w:line="142" w:lineRule="exact"/>
              <w:rPr>
                <w:sz w:val="20"/>
                <w:szCs w:val="20"/>
                <w:color w:val="auto"/>
              </w:rPr>
            </w:pPr>
            <w:r>
              <w:rPr>
                <w:rFonts w:ascii="Arial" w:cs="Arial" w:eastAsia="Arial" w:hAnsi="Arial"/>
                <w:sz w:val="14"/>
                <w:szCs w:val="14"/>
                <w:b w:val="1"/>
                <w:bCs w:val="1"/>
                <w:color w:val="auto"/>
                <w:w w:val="91"/>
              </w:rPr>
              <w:t>(State or other jurisdiction of</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3200" w:type="dxa"/>
            <w:vAlign w:val="bottom"/>
            <w:gridSpan w:val="4"/>
          </w:tcPr>
          <w:p>
            <w:pPr>
              <w:jc w:val="center"/>
              <w:ind w:left="50"/>
              <w:spacing w:after="0"/>
              <w:rPr>
                <w:sz w:val="20"/>
                <w:szCs w:val="20"/>
                <w:color w:val="auto"/>
              </w:rPr>
            </w:pPr>
            <w:r>
              <w:rPr>
                <w:rFonts w:ascii="Arial" w:cs="Arial" w:eastAsia="Arial" w:hAnsi="Arial"/>
                <w:sz w:val="14"/>
                <w:szCs w:val="14"/>
                <w:b w:val="1"/>
                <w:bCs w:val="1"/>
                <w:color w:val="auto"/>
                <w:w w:val="92"/>
              </w:rPr>
              <w:t>incorporation or organization)</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Identification Number)</w:t>
            </w:r>
          </w:p>
        </w:tc>
      </w:tr>
      <w:tr>
        <w:trPr>
          <w:trHeight w:val="490"/>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1"/>
              </w:rPr>
              <w:t>Dropbox, Inc.</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00" w:type="dxa"/>
            <w:vAlign w:val="bottom"/>
            <w:gridSpan w:val="3"/>
          </w:tcPr>
          <w:p>
            <w:pPr>
              <w:jc w:val="center"/>
              <w:ind w:right="1320"/>
              <w:spacing w:after="0" w:line="157" w:lineRule="exact"/>
              <w:rPr>
                <w:sz w:val="20"/>
                <w:szCs w:val="20"/>
                <w:color w:val="auto"/>
              </w:rPr>
            </w:pPr>
            <w:r>
              <w:rPr>
                <w:rFonts w:ascii="Arial" w:cs="Arial" w:eastAsia="Arial" w:hAnsi="Arial"/>
                <w:sz w:val="14"/>
                <w:szCs w:val="14"/>
                <w:b w:val="1"/>
                <w:bCs w:val="1"/>
                <w:color w:val="auto"/>
                <w:w w:val="88"/>
              </w:rPr>
              <w:t>1800 Owens Street</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4"/>
          </w:tcPr>
          <w:p>
            <w:pPr>
              <w:jc w:val="center"/>
              <w:ind w:right="220"/>
              <w:spacing w:after="0" w:line="157" w:lineRule="exact"/>
              <w:rPr>
                <w:sz w:val="20"/>
                <w:szCs w:val="20"/>
                <w:color w:val="auto"/>
              </w:rPr>
            </w:pPr>
            <w:r>
              <w:rPr>
                <w:rFonts w:ascii="Arial" w:cs="Arial" w:eastAsia="Arial" w:hAnsi="Arial"/>
                <w:sz w:val="14"/>
                <w:szCs w:val="14"/>
                <w:b w:val="1"/>
                <w:bCs w:val="1"/>
                <w:color w:val="auto"/>
                <w:w w:val="91"/>
              </w:rPr>
              <w:t>San Francisco, California 94158</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80" w:type="dxa"/>
            <w:vAlign w:val="bottom"/>
            <w:gridSpan w:val="5"/>
          </w:tcPr>
          <w:p>
            <w:pPr>
              <w:jc w:val="center"/>
              <w:ind w:right="140"/>
              <w:spacing w:after="0" w:line="157" w:lineRule="exact"/>
              <w:rPr>
                <w:sz w:val="20"/>
                <w:szCs w:val="20"/>
                <w:color w:val="auto"/>
              </w:rPr>
            </w:pPr>
            <w:r>
              <w:rPr>
                <w:rFonts w:ascii="Arial" w:cs="Arial" w:eastAsia="Arial" w:hAnsi="Arial"/>
                <w:sz w:val="14"/>
                <w:szCs w:val="14"/>
                <w:b w:val="1"/>
                <w:bCs w:val="1"/>
                <w:color w:val="auto"/>
                <w:w w:val="88"/>
              </w:rPr>
              <w:t>(Address of principal executive offices, including zip code)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gridSpan w:val="3"/>
          </w:tcPr>
          <w:p>
            <w:pPr>
              <w:jc w:val="center"/>
              <w:ind w:left="1150"/>
              <w:spacing w:after="0" w:line="157" w:lineRule="exact"/>
              <w:rPr>
                <w:sz w:val="20"/>
                <w:szCs w:val="20"/>
                <w:color w:val="auto"/>
              </w:rPr>
            </w:pPr>
            <w:r>
              <w:rPr>
                <w:rFonts w:ascii="Arial" w:cs="Arial" w:eastAsia="Arial" w:hAnsi="Arial"/>
                <w:sz w:val="14"/>
                <w:szCs w:val="14"/>
                <w:b w:val="1"/>
                <w:bCs w:val="1"/>
                <w:color w:val="auto"/>
                <w:w w:val="91"/>
              </w:rPr>
              <w:t>(415) 857-6800</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3"/>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51"/>
        </w:trPr>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77"/>
        </w:trPr>
        <w:tc>
          <w:tcPr>
            <w:tcW w:w="112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3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c>
          <w:tcPr>
            <w:tcW w:w="500" w:type="dxa"/>
            <w:vAlign w:val="bottom"/>
          </w:tcPr>
          <w:p>
            <w:pPr>
              <w:spacing w:after="0"/>
              <w:rPr>
                <w:sz w:val="15"/>
                <w:szCs w:val="15"/>
                <w:color w:val="auto"/>
              </w:rPr>
            </w:pPr>
          </w:p>
        </w:tc>
      </w:tr>
      <w:tr>
        <w:trPr>
          <w:trHeight w:val="192"/>
        </w:trPr>
        <w:tc>
          <w:tcPr>
            <w:tcW w:w="3200" w:type="dxa"/>
            <w:vAlign w:val="bottom"/>
            <w:gridSpan w:val="4"/>
          </w:tcPr>
          <w:p>
            <w:pPr>
              <w:jc w:val="center"/>
              <w:ind w:left="10"/>
              <w:spacing w:after="0"/>
              <w:rPr>
                <w:sz w:val="20"/>
                <w:szCs w:val="20"/>
                <w:color w:val="auto"/>
              </w:rPr>
            </w:pPr>
            <w:r>
              <w:rPr>
                <w:rFonts w:ascii="Arial" w:cs="Arial" w:eastAsia="Arial" w:hAnsi="Arial"/>
                <w:sz w:val="14"/>
                <w:szCs w:val="14"/>
                <w:color w:val="auto"/>
                <w:w w:val="89"/>
              </w:rPr>
              <w:t>Class A Common Stock, par value $0.00001 per share</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color w:val="auto"/>
                <w:w w:val="97"/>
              </w:rPr>
              <w:t>DBX</w:t>
            </w:r>
          </w:p>
        </w:tc>
        <w:tc>
          <w:tcPr>
            <w:tcW w:w="200" w:type="dxa"/>
            <w:vAlign w:val="bottom"/>
          </w:tcPr>
          <w:p>
            <w:pPr>
              <w:spacing w:after="0"/>
              <w:rPr>
                <w:sz w:val="16"/>
                <w:szCs w:val="16"/>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4"/>
                <w:szCs w:val="14"/>
                <w:color w:val="auto"/>
                <w:w w:val="95"/>
              </w:rPr>
              <w:t>The NASDAQ Stock Market LLC</w:t>
            </w:r>
          </w:p>
        </w:tc>
      </w:tr>
      <w:tr>
        <w:trPr>
          <w:trHeight w:val="207"/>
        </w:trPr>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Securities registered pursuant to Section 12(g) of the Act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72"/>
        </w:trPr>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2"/>
          </w:tcPr>
          <w:p>
            <w:pPr>
              <w:jc w:val="center"/>
              <w:ind w:right="1140"/>
              <w:spacing w:after="0"/>
              <w:rPr>
                <w:sz w:val="20"/>
                <w:szCs w:val="20"/>
                <w:color w:val="auto"/>
              </w:rPr>
            </w:pPr>
            <w:r>
              <w:rPr>
                <w:rFonts w:ascii="Arial" w:cs="Arial" w:eastAsia="Arial" w:hAnsi="Arial"/>
                <w:sz w:val="14"/>
                <w:szCs w:val="14"/>
                <w:color w:val="auto"/>
                <w:w w:val="89"/>
              </w:rPr>
              <w:t>None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1"/>
        </w:trPr>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pacing w:after="0" w:line="200" w:lineRule="exact"/>
        <w:rPr>
          <w:sz w:val="24"/>
          <w:szCs w:val="24"/>
          <w:color w:val="auto"/>
        </w:rPr>
      </w:pPr>
    </w:p>
    <w:p>
      <w:pPr>
        <w:spacing w:after="0" w:line="2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8" w:lineRule="exact"/>
        <w:rPr>
          <w:sz w:val="24"/>
          <w:szCs w:val="24"/>
          <w:color w:val="auto"/>
        </w:rPr>
      </w:pPr>
    </w:p>
    <w:p>
      <w:pPr>
        <w:ind w:right="22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100"/>
        <w:spacing w:after="0" w:line="29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37"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4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4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20"/>
                <w:szCs w:val="20"/>
                <w:color w:val="auto"/>
              </w:rPr>
            </w:pPr>
            <w:r>
              <w:rPr>
                <w:rFonts w:ascii="Arial" w:cs="Arial" w:eastAsia="Arial" w:hAnsi="Arial"/>
                <w:sz w:val="14"/>
                <w:szCs w:val="14"/>
                <w:color w:val="auto"/>
              </w:rPr>
              <w:t>Emerging growth</w:t>
            </w:r>
          </w:p>
        </w:tc>
        <w:tc>
          <w:tcPr>
            <w:tcW w:w="3620" w:type="dxa"/>
            <w:vAlign w:val="bottom"/>
            <w:vMerge w:val="restart"/>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20"/>
                <w:szCs w:val="20"/>
                <w:color w:val="auto"/>
              </w:rPr>
            </w:pPr>
            <w:r>
              <w:rPr>
                <w:rFonts w:ascii="Arial" w:cs="Arial" w:eastAsia="Arial" w:hAnsi="Arial"/>
                <w:sz w:val="14"/>
                <w:szCs w:val="14"/>
                <w:color w:val="auto"/>
              </w:rPr>
              <w:t>company</w:t>
            </w:r>
          </w:p>
        </w:tc>
        <w:tc>
          <w:tcPr>
            <w:tcW w:w="3620" w:type="dxa"/>
            <w:vAlign w:val="bottom"/>
            <w:vMerge w:val="continue"/>
          </w:tcPr>
          <w:p>
            <w:pPr>
              <w:spacing w:after="0"/>
              <w:rPr>
                <w:sz w:val="17"/>
                <w:szCs w:val="17"/>
                <w:color w:val="auto"/>
              </w:rPr>
            </w:pPr>
          </w:p>
        </w:tc>
        <w:tc>
          <w:tcPr>
            <w:tcW w:w="5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3" w:lineRule="exact"/>
        <w:rPr>
          <w:sz w:val="24"/>
          <w:szCs w:val="24"/>
          <w:color w:val="auto"/>
        </w:rPr>
      </w:pPr>
    </w:p>
    <w:p>
      <w:pPr>
        <w:jc w:val="both"/>
        <w:ind w:right="3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2" w:lineRule="exact"/>
        <w:rPr>
          <w:sz w:val="24"/>
          <w:szCs w:val="24"/>
          <w:color w:val="auto"/>
        </w:rPr>
      </w:pPr>
    </w:p>
    <w:p>
      <w:pPr>
        <w:ind w:right="360"/>
        <w:spacing w:after="0" w:line="17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6" w:lineRule="exact"/>
        <w:rPr>
          <w:sz w:val="24"/>
          <w:szCs w:val="24"/>
          <w:color w:val="auto"/>
        </w:rPr>
      </w:pPr>
    </w:p>
    <w:p>
      <w:pPr>
        <w:ind w:right="40"/>
        <w:spacing w:after="0" w:line="243"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based on the closing price of a share of the registrant's Class A common stock on June 30, 2021 as reported by the NASDAQ Global Select Market on such date was approximately $7,207.4 million. Shares of the registrant’s Class A common stock held by each executive officer, director and holder of 5% or more of the outstanding Class A common stock have been excluded as such persons may be deemed to be affiliates. This calculation does not reflect a determination that certain persons are affiliates of the registrant for any other purpose.</w:t>
      </w:r>
    </w:p>
    <w:p>
      <w:pPr>
        <w:spacing w:after="0" w:line="279" w:lineRule="exact"/>
        <w:rPr>
          <w:sz w:val="24"/>
          <w:szCs w:val="24"/>
          <w:color w:val="auto"/>
        </w:rPr>
      </w:pPr>
    </w:p>
    <w:p>
      <w:pPr>
        <w:ind w:right="240"/>
        <w:spacing w:after="0" w:line="268" w:lineRule="auto"/>
        <w:rPr>
          <w:sz w:val="20"/>
          <w:szCs w:val="20"/>
          <w:color w:val="auto"/>
        </w:rPr>
      </w:pPr>
      <w:r>
        <w:rPr>
          <w:rFonts w:ascii="Arial" w:cs="Arial" w:eastAsia="Arial" w:hAnsi="Arial"/>
          <w:sz w:val="13"/>
          <w:szCs w:val="13"/>
          <w:color w:val="auto"/>
        </w:rPr>
        <w:t>As of February 15, 2022 there were 298,856,588 shares of the registrant's Class A common stock outstanding (which includes 8,266,666 shares of Class A common stock subject to restricted stock awards that were granted pursuant to the Co-Founder Grants, and vest upon the satisfaction of a service condition and achievement of certain stock price goals, and 2,415,437 shares of Class A common stock subject to restricted stock awards that were granted to other Dropbox executives and vest upon the satisfaction of a service condition and, as applicable, achievement of certain stock price goals), 82,798,358 shares of the registrant’s Class B common stock outstanding, and no shares of the registrant’s Class C common stock outstanding.</w:t>
      </w:r>
    </w:p>
    <w:p>
      <w:pPr>
        <w:sectPr>
          <w:pgSz w:w="11900" w:h="16838" w:orient="portrait"/>
          <w:cols w:equalWidth="0" w:num="1">
            <w:col w:w="11220"/>
          </w:cols>
          <w:pgMar w:left="320" w:top="234" w:right="359" w:bottom="0" w:gutter="0" w:footer="0" w:header="0"/>
        </w:sect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DOCUMENTS INCORPORATED BY REFERENCE</w:t>
      </w:r>
    </w:p>
    <w:p>
      <w:pPr>
        <w:sectPr>
          <w:pgSz w:w="11900" w:h="16838" w:orient="portrait"/>
          <w:cols w:equalWidth="0" w:num="1">
            <w:col w:w="11220"/>
          </w:cols>
          <w:pgMar w:left="320" w:top="234" w:right="359" w:bottom="0" w:gutter="0" w:footer="0" w:header="0"/>
          <w:type w:val="continuous"/>
        </w:sectPr>
      </w:pPr>
    </w:p>
    <w:bookmarkStart w:id="1" w:name="page2"/>
    <w:bookmarkEnd w:id="1"/>
    <w:p>
      <w:pPr>
        <w:spacing w:after="0" w:line="344" w:lineRule="auto"/>
        <w:rPr>
          <w:sz w:val="20"/>
          <w:szCs w:val="20"/>
          <w:color w:val="auto"/>
        </w:rPr>
      </w:pPr>
      <w:r>
        <w:rPr>
          <w:rFonts w:ascii="Arial" w:cs="Arial" w:eastAsia="Arial" w:hAnsi="Arial"/>
          <w:sz w:val="12"/>
          <w:szCs w:val="12"/>
          <w:color w:val="auto"/>
        </w:rPr>
        <w:t>Portions of the registrant's definitive Proxy Statement relating to the 2022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563880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40" w:type="dxa"/>
            <w:vAlign w:val="bottom"/>
            <w:gridSpan w:val="8"/>
          </w:tcPr>
          <w:p>
            <w:pPr>
              <w:jc w:val="center"/>
              <w:ind w:right="3220"/>
              <w:spacing w:after="0"/>
              <w:rPr>
                <w:sz w:val="20"/>
                <w:szCs w:val="20"/>
                <w:color w:val="auto"/>
              </w:rPr>
            </w:pPr>
            <w:r>
              <w:rPr>
                <w:rFonts w:ascii="Arial" w:cs="Arial" w:eastAsia="Arial" w:hAnsi="Arial"/>
                <w:sz w:val="17"/>
                <w:szCs w:val="17"/>
                <w:b w:val="1"/>
                <w:bCs w:val="1"/>
                <w:color w:val="auto"/>
              </w:rPr>
              <w:t>TABLE OF CONTENTS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820"/>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210"/>
        </w:trPr>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40" w:type="dxa"/>
            <w:vAlign w:val="bottom"/>
            <w:gridSpan w:val="6"/>
          </w:tcPr>
          <w:p>
            <w:pPr>
              <w:jc w:val="center"/>
              <w:ind w:right="4220"/>
              <w:spacing w:after="0"/>
              <w:rPr>
                <w:sz w:val="20"/>
                <w:szCs w:val="20"/>
                <w:color w:val="auto"/>
              </w:rPr>
            </w:pPr>
            <w:r>
              <w:rPr>
                <w:rFonts w:ascii="Arial" w:cs="Arial" w:eastAsia="Arial" w:hAnsi="Arial"/>
                <w:sz w:val="17"/>
                <w:szCs w:val="17"/>
                <w:b w:val="1"/>
                <w:bCs w:val="1"/>
                <w:color w:val="auto"/>
              </w:rPr>
              <w:t>Part I</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84"/>
        </w:trPr>
        <w:tc>
          <w:tcPr>
            <w:tcW w:w="112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1.</w:t>
            </w:r>
          </w:p>
        </w:tc>
        <w:tc>
          <w:tcPr>
            <w:tcW w:w="620" w:type="dxa"/>
            <w:vAlign w:val="bottom"/>
            <w:shd w:val="clear" w:color="auto" w:fill="CCEEFF"/>
          </w:tcPr>
          <w:p>
            <w:pPr>
              <w:spacing w:after="0" w:line="184" w:lineRule="exact"/>
              <w:rPr>
                <w:rFonts w:ascii="Arial" w:cs="Arial" w:eastAsia="Arial" w:hAnsi="Arial"/>
                <w:sz w:val="17"/>
                <w:szCs w:val="17"/>
                <w:color w:val="0000FF"/>
                <w:w w:val="86"/>
              </w:rPr>
            </w:pPr>
            <w:hyperlink w:anchor="page7">
              <w:r>
                <w:rPr>
                  <w:rFonts w:ascii="Arial" w:cs="Arial" w:eastAsia="Arial" w:hAnsi="Arial"/>
                  <w:sz w:val="17"/>
                  <w:szCs w:val="17"/>
                  <w:color w:val="0000FF"/>
                  <w:w w:val="86"/>
                </w:rPr>
                <w:t>Business</w:t>
              </w:r>
            </w:hyperlink>
          </w:p>
        </w:tc>
        <w:tc>
          <w:tcPr>
            <w:tcW w:w="8340" w:type="dxa"/>
            <w:vAlign w:val="bottom"/>
            <w:gridSpan w:val="16"/>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jc w:val="center"/>
              <w:spacing w:after="0" w:line="184" w:lineRule="exact"/>
              <w:rPr>
                <w:rFonts w:ascii="Arial" w:cs="Arial" w:eastAsia="Arial" w:hAnsi="Arial"/>
                <w:sz w:val="17"/>
                <w:szCs w:val="17"/>
                <w:color w:val="0000FF"/>
                <w:w w:val="84"/>
              </w:rPr>
            </w:pPr>
            <w:hyperlink w:anchor="page7">
              <w:r>
                <w:rPr>
                  <w:rFonts w:ascii="Arial" w:cs="Arial" w:eastAsia="Arial" w:hAnsi="Arial"/>
                  <w:sz w:val="17"/>
                  <w:szCs w:val="17"/>
                  <w:color w:val="0000FF"/>
                  <w:w w:val="84"/>
                </w:rPr>
                <w:t>6</w:t>
              </w:r>
            </w:hyperlink>
          </w:p>
        </w:tc>
        <w:tc>
          <w:tcPr>
            <w:tcW w:w="460" w:type="dxa"/>
            <w:vAlign w:val="bottom"/>
            <w:tcBorders>
              <w:left w:val="single" w:sz="8" w:color="CCEEFF"/>
            </w:tcBorders>
            <w:shd w:val="clear" w:color="auto" w:fill="CCEEFF"/>
          </w:tcPr>
          <w:p>
            <w:pPr>
              <w:spacing w:after="0"/>
              <w:rPr>
                <w:sz w:val="15"/>
                <w:szCs w:val="15"/>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1A.</w:t>
            </w:r>
          </w:p>
        </w:tc>
        <w:tc>
          <w:tcPr>
            <w:tcW w:w="880" w:type="dxa"/>
            <w:vAlign w:val="bottom"/>
            <w:gridSpan w:val="3"/>
          </w:tcPr>
          <w:p>
            <w:pPr>
              <w:spacing w:after="0" w:line="184" w:lineRule="exact"/>
              <w:rPr>
                <w:rFonts w:ascii="Arial" w:cs="Arial" w:eastAsia="Arial" w:hAnsi="Arial"/>
                <w:sz w:val="17"/>
                <w:szCs w:val="17"/>
                <w:color w:val="0000FF"/>
                <w:w w:val="90"/>
              </w:rPr>
            </w:pPr>
            <w:hyperlink w:anchor="page15">
              <w:r>
                <w:rPr>
                  <w:rFonts w:ascii="Arial" w:cs="Arial" w:eastAsia="Arial" w:hAnsi="Arial"/>
                  <w:sz w:val="17"/>
                  <w:szCs w:val="17"/>
                  <w:color w:val="0000FF"/>
                  <w:w w:val="90"/>
                </w:rPr>
                <w:t>Risk Factors</w:t>
              </w:r>
            </w:hyperlink>
          </w:p>
        </w:tc>
        <w:tc>
          <w:tcPr>
            <w:tcW w:w="8080" w:type="dxa"/>
            <w:vAlign w:val="bottom"/>
            <w:gridSpan w:val="14"/>
          </w:tcPr>
          <w:p>
            <w:pPr>
              <w:spacing w:after="0"/>
              <w:rPr>
                <w:sz w:val="15"/>
                <w:szCs w:val="15"/>
                <w:color w:val="auto"/>
              </w:rPr>
            </w:pPr>
          </w:p>
        </w:tc>
        <w:tc>
          <w:tcPr>
            <w:tcW w:w="660" w:type="dxa"/>
            <w:vAlign w:val="bottom"/>
            <w:gridSpan w:val="2"/>
          </w:tcPr>
          <w:p>
            <w:pPr>
              <w:jc w:val="center"/>
              <w:ind w:left="393"/>
              <w:spacing w:after="0" w:line="184" w:lineRule="exact"/>
              <w:rPr>
                <w:rFonts w:ascii="Arial" w:cs="Arial" w:eastAsia="Arial" w:hAnsi="Arial"/>
                <w:sz w:val="17"/>
                <w:szCs w:val="17"/>
                <w:color w:val="0000FF"/>
                <w:w w:val="94"/>
              </w:rPr>
            </w:pPr>
            <w:hyperlink w:anchor="page15">
              <w:r>
                <w:rPr>
                  <w:rFonts w:ascii="Arial" w:cs="Arial" w:eastAsia="Arial" w:hAnsi="Arial"/>
                  <w:sz w:val="17"/>
                  <w:szCs w:val="17"/>
                  <w:color w:val="0000FF"/>
                  <w:w w:val="94"/>
                </w:rPr>
                <w:t>15</w:t>
              </w:r>
            </w:hyperlink>
          </w:p>
        </w:tc>
        <w:tc>
          <w:tcPr>
            <w:tcW w:w="460" w:type="dxa"/>
            <w:vAlign w:val="bottom"/>
          </w:tcPr>
          <w:p>
            <w:pPr>
              <w:spacing w:after="0"/>
              <w:rPr>
                <w:sz w:val="15"/>
                <w:szCs w:val="15"/>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1B.</w:t>
            </w:r>
          </w:p>
        </w:tc>
        <w:tc>
          <w:tcPr>
            <w:tcW w:w="8960" w:type="dxa"/>
            <w:vAlign w:val="bottom"/>
            <w:gridSpan w:val="17"/>
            <w:shd w:val="clear" w:color="auto" w:fill="CCEEFF"/>
          </w:tcPr>
          <w:p>
            <w:pPr>
              <w:spacing w:after="0" w:line="194" w:lineRule="exact"/>
              <w:rPr>
                <w:rFonts w:ascii="Arial" w:cs="Arial" w:eastAsia="Arial" w:hAnsi="Arial"/>
                <w:sz w:val="17"/>
                <w:szCs w:val="17"/>
                <w:color w:val="0000FF"/>
              </w:rPr>
            </w:pPr>
            <w:hyperlink w:anchor="page44">
              <w:r>
                <w:rPr>
                  <w:rFonts w:ascii="Arial" w:cs="Arial" w:eastAsia="Arial" w:hAnsi="Arial"/>
                  <w:sz w:val="17"/>
                  <w:szCs w:val="17"/>
                  <w:color w:val="0000FF"/>
                </w:rPr>
                <w:t>Unresolved Staff Comments</w:t>
              </w:r>
            </w:hyperlink>
          </w:p>
        </w:tc>
        <w:tc>
          <w:tcPr>
            <w:tcW w:w="660" w:type="dxa"/>
            <w:vAlign w:val="bottom"/>
            <w:tcBorders>
              <w:right w:val="single" w:sz="8" w:color="CCEEFF"/>
            </w:tcBorders>
            <w:gridSpan w:val="2"/>
            <w:shd w:val="clear" w:color="auto" w:fill="CCEEFF"/>
          </w:tcPr>
          <w:p>
            <w:pPr>
              <w:jc w:val="center"/>
              <w:ind w:left="393"/>
              <w:spacing w:after="0" w:line="194" w:lineRule="exact"/>
              <w:rPr>
                <w:rFonts w:ascii="Arial" w:cs="Arial" w:eastAsia="Arial" w:hAnsi="Arial"/>
                <w:sz w:val="17"/>
                <w:szCs w:val="17"/>
                <w:color w:val="0000FF"/>
                <w:w w:val="94"/>
              </w:rPr>
            </w:pPr>
            <w:hyperlink w:anchor="page44">
              <w:r>
                <w:rPr>
                  <w:rFonts w:ascii="Arial" w:cs="Arial" w:eastAsia="Arial" w:hAnsi="Arial"/>
                  <w:sz w:val="17"/>
                  <w:szCs w:val="17"/>
                  <w:color w:val="0000FF"/>
                  <w:w w:val="94"/>
                </w:rPr>
                <w:t>44</w:t>
              </w:r>
            </w:hyperlink>
          </w:p>
        </w:tc>
        <w:tc>
          <w:tcPr>
            <w:tcW w:w="460" w:type="dxa"/>
            <w:vAlign w:val="bottom"/>
            <w:tcBorders>
              <w:left w:val="single" w:sz="8" w:color="CCEEFF"/>
            </w:tcBorders>
            <w:shd w:val="clear" w:color="auto" w:fill="CCEEFF"/>
          </w:tcPr>
          <w:p>
            <w:pPr>
              <w:spacing w:after="0"/>
              <w:rPr>
                <w:sz w:val="16"/>
                <w:szCs w:val="16"/>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2.</w:t>
            </w:r>
          </w:p>
        </w:tc>
        <w:tc>
          <w:tcPr>
            <w:tcW w:w="1980" w:type="dxa"/>
            <w:vAlign w:val="bottom"/>
            <w:gridSpan w:val="7"/>
          </w:tcPr>
          <w:p>
            <w:pPr>
              <w:spacing w:after="0" w:line="184" w:lineRule="exact"/>
              <w:rPr>
                <w:rFonts w:ascii="Arial" w:cs="Arial" w:eastAsia="Arial" w:hAnsi="Arial"/>
                <w:sz w:val="17"/>
                <w:szCs w:val="17"/>
                <w:color w:val="0000FF"/>
              </w:rPr>
            </w:pPr>
            <w:hyperlink w:anchor="page45">
              <w:r>
                <w:rPr>
                  <w:rFonts w:ascii="Arial" w:cs="Arial" w:eastAsia="Arial" w:hAnsi="Arial"/>
                  <w:sz w:val="17"/>
                  <w:szCs w:val="17"/>
                  <w:color w:val="0000FF"/>
                </w:rPr>
                <w:t>Properties</w:t>
              </w:r>
            </w:hyperlink>
          </w:p>
        </w:tc>
        <w:tc>
          <w:tcPr>
            <w:tcW w:w="6980" w:type="dxa"/>
            <w:vAlign w:val="bottom"/>
            <w:gridSpan w:val="10"/>
          </w:tcPr>
          <w:p>
            <w:pPr>
              <w:spacing w:after="0"/>
              <w:rPr>
                <w:sz w:val="15"/>
                <w:szCs w:val="15"/>
                <w:color w:val="auto"/>
              </w:rPr>
            </w:pPr>
          </w:p>
        </w:tc>
        <w:tc>
          <w:tcPr>
            <w:tcW w:w="660" w:type="dxa"/>
            <w:vAlign w:val="bottom"/>
            <w:gridSpan w:val="2"/>
          </w:tcPr>
          <w:p>
            <w:pPr>
              <w:jc w:val="center"/>
              <w:ind w:left="393"/>
              <w:spacing w:after="0" w:line="184" w:lineRule="exact"/>
              <w:rPr>
                <w:rFonts w:ascii="Arial" w:cs="Arial" w:eastAsia="Arial" w:hAnsi="Arial"/>
                <w:sz w:val="17"/>
                <w:szCs w:val="17"/>
                <w:color w:val="0000FF"/>
                <w:w w:val="94"/>
              </w:rPr>
            </w:pPr>
            <w:hyperlink w:anchor="page45">
              <w:r>
                <w:rPr>
                  <w:rFonts w:ascii="Arial" w:cs="Arial" w:eastAsia="Arial" w:hAnsi="Arial"/>
                  <w:sz w:val="17"/>
                  <w:szCs w:val="17"/>
                  <w:color w:val="0000FF"/>
                  <w:w w:val="94"/>
                </w:rPr>
                <w:t>44</w:t>
              </w:r>
            </w:hyperlink>
          </w:p>
        </w:tc>
        <w:tc>
          <w:tcPr>
            <w:tcW w:w="460" w:type="dxa"/>
            <w:vAlign w:val="bottom"/>
          </w:tcPr>
          <w:p>
            <w:pPr>
              <w:spacing w:after="0"/>
              <w:rPr>
                <w:sz w:val="15"/>
                <w:szCs w:val="15"/>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3.</w:t>
            </w:r>
          </w:p>
        </w:tc>
        <w:tc>
          <w:tcPr>
            <w:tcW w:w="1300" w:type="dxa"/>
            <w:vAlign w:val="bottom"/>
            <w:tcBorders>
              <w:right w:val="single" w:sz="8" w:color="CCEEFF"/>
            </w:tcBorders>
            <w:gridSpan w:val="4"/>
            <w:shd w:val="clear" w:color="auto" w:fill="CCEEFF"/>
          </w:tcPr>
          <w:p>
            <w:pPr>
              <w:spacing w:after="0" w:line="194" w:lineRule="exact"/>
              <w:rPr>
                <w:rFonts w:ascii="Arial" w:cs="Arial" w:eastAsia="Arial" w:hAnsi="Arial"/>
                <w:sz w:val="17"/>
                <w:szCs w:val="17"/>
                <w:color w:val="0000FF"/>
                <w:w w:val="89"/>
              </w:rPr>
            </w:pPr>
            <w:hyperlink w:anchor="page45">
              <w:r>
                <w:rPr>
                  <w:rFonts w:ascii="Arial" w:cs="Arial" w:eastAsia="Arial" w:hAnsi="Arial"/>
                  <w:sz w:val="17"/>
                  <w:szCs w:val="17"/>
                  <w:color w:val="0000FF"/>
                  <w:w w:val="89"/>
                </w:rPr>
                <w:t>Legal Proceedings</w:t>
              </w:r>
            </w:hyperlink>
          </w:p>
        </w:tc>
        <w:tc>
          <w:tcPr>
            <w:tcW w:w="7660" w:type="dxa"/>
            <w:vAlign w:val="bottom"/>
            <w:gridSpan w:val="13"/>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left="393"/>
              <w:spacing w:after="0" w:line="194" w:lineRule="exact"/>
              <w:rPr>
                <w:rFonts w:ascii="Arial" w:cs="Arial" w:eastAsia="Arial" w:hAnsi="Arial"/>
                <w:sz w:val="17"/>
                <w:szCs w:val="17"/>
                <w:color w:val="0000FF"/>
                <w:w w:val="94"/>
              </w:rPr>
            </w:pPr>
            <w:hyperlink w:anchor="page45">
              <w:r>
                <w:rPr>
                  <w:rFonts w:ascii="Arial" w:cs="Arial" w:eastAsia="Arial" w:hAnsi="Arial"/>
                  <w:sz w:val="17"/>
                  <w:szCs w:val="17"/>
                  <w:color w:val="0000FF"/>
                  <w:w w:val="94"/>
                </w:rPr>
                <w:t>44</w:t>
              </w:r>
            </w:hyperlink>
          </w:p>
        </w:tc>
        <w:tc>
          <w:tcPr>
            <w:tcW w:w="460" w:type="dxa"/>
            <w:vAlign w:val="bottom"/>
            <w:tcBorders>
              <w:left w:val="single" w:sz="8" w:color="CCEEFF"/>
            </w:tcBorders>
            <w:shd w:val="clear" w:color="auto" w:fill="CCEEFF"/>
          </w:tcPr>
          <w:p>
            <w:pPr>
              <w:spacing w:after="0"/>
              <w:rPr>
                <w:sz w:val="16"/>
                <w:szCs w:val="16"/>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93"/>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4.</w:t>
            </w:r>
          </w:p>
        </w:tc>
        <w:tc>
          <w:tcPr>
            <w:tcW w:w="8960" w:type="dxa"/>
            <w:vAlign w:val="bottom"/>
            <w:gridSpan w:val="17"/>
          </w:tcPr>
          <w:p>
            <w:pPr>
              <w:spacing w:after="0" w:line="184" w:lineRule="exact"/>
              <w:rPr>
                <w:rFonts w:ascii="Arial" w:cs="Arial" w:eastAsia="Arial" w:hAnsi="Arial"/>
                <w:sz w:val="17"/>
                <w:szCs w:val="17"/>
                <w:color w:val="0000FF"/>
              </w:rPr>
            </w:pPr>
            <w:hyperlink w:anchor="page45">
              <w:r>
                <w:rPr>
                  <w:rFonts w:ascii="Arial" w:cs="Arial" w:eastAsia="Arial" w:hAnsi="Arial"/>
                  <w:sz w:val="17"/>
                  <w:szCs w:val="17"/>
                  <w:color w:val="0000FF"/>
                </w:rPr>
                <w:t>Mine Safety Disclosures</w:t>
              </w:r>
            </w:hyperlink>
          </w:p>
        </w:tc>
        <w:tc>
          <w:tcPr>
            <w:tcW w:w="660" w:type="dxa"/>
            <w:vAlign w:val="bottom"/>
            <w:gridSpan w:val="2"/>
          </w:tcPr>
          <w:p>
            <w:pPr>
              <w:jc w:val="center"/>
              <w:ind w:left="393"/>
              <w:spacing w:after="0" w:line="184" w:lineRule="exact"/>
              <w:rPr>
                <w:rFonts w:ascii="Arial" w:cs="Arial" w:eastAsia="Arial" w:hAnsi="Arial"/>
                <w:sz w:val="17"/>
                <w:szCs w:val="17"/>
                <w:color w:val="0000FF"/>
                <w:w w:val="94"/>
              </w:rPr>
            </w:pPr>
            <w:hyperlink w:anchor="page45">
              <w:r>
                <w:rPr>
                  <w:rFonts w:ascii="Arial" w:cs="Arial" w:eastAsia="Arial" w:hAnsi="Arial"/>
                  <w:sz w:val="17"/>
                  <w:szCs w:val="17"/>
                  <w:color w:val="0000FF"/>
                  <w:w w:val="94"/>
                </w:rPr>
                <w:t>44</w:t>
              </w:r>
            </w:hyperlink>
          </w:p>
        </w:tc>
        <w:tc>
          <w:tcPr>
            <w:tcW w:w="460" w:type="dxa"/>
            <w:vAlign w:val="bottom"/>
          </w:tcPr>
          <w:p>
            <w:pPr>
              <w:spacing w:after="0"/>
              <w:rPr>
                <w:sz w:val="16"/>
                <w:szCs w:val="16"/>
                <w:color w:val="auto"/>
              </w:rPr>
            </w:pPr>
          </w:p>
        </w:tc>
      </w:tr>
      <w:tr>
        <w:trPr>
          <w:trHeight w:val="233"/>
        </w:trPr>
        <w:tc>
          <w:tcPr>
            <w:tcW w:w="1120" w:type="dxa"/>
            <w:vAlign w:val="bottom"/>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42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980" w:type="dxa"/>
            <w:vAlign w:val="bottom"/>
            <w:gridSpan w:val="7"/>
            <w:shd w:val="clear" w:color="auto" w:fill="CCEEFF"/>
          </w:tcPr>
          <w:p>
            <w:pPr>
              <w:jc w:val="center"/>
              <w:ind w:right="3980"/>
              <w:spacing w:after="0"/>
              <w:rPr>
                <w:sz w:val="20"/>
                <w:szCs w:val="20"/>
                <w:color w:val="auto"/>
              </w:rPr>
            </w:pPr>
            <w:r>
              <w:rPr>
                <w:rFonts w:ascii="Arial" w:cs="Arial" w:eastAsia="Arial" w:hAnsi="Arial"/>
                <w:sz w:val="17"/>
                <w:szCs w:val="17"/>
                <w:b w:val="1"/>
                <w:bCs w:val="1"/>
                <w:color w:val="auto"/>
              </w:rPr>
              <w:t>Part II</w:t>
            </w:r>
          </w:p>
        </w:tc>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5.</w:t>
            </w:r>
          </w:p>
        </w:tc>
        <w:tc>
          <w:tcPr>
            <w:tcW w:w="7840" w:type="dxa"/>
            <w:vAlign w:val="bottom"/>
            <w:gridSpan w:val="16"/>
          </w:tcPr>
          <w:p>
            <w:pPr>
              <w:spacing w:after="0" w:line="184" w:lineRule="exact"/>
              <w:rPr>
                <w:rFonts w:ascii="Arial" w:cs="Arial" w:eastAsia="Arial" w:hAnsi="Arial"/>
                <w:sz w:val="17"/>
                <w:szCs w:val="17"/>
                <w:color w:val="0000FF"/>
                <w:w w:val="93"/>
              </w:rPr>
            </w:pPr>
            <w:hyperlink w:anchor="page46">
              <w:r>
                <w:rPr>
                  <w:rFonts w:ascii="Arial" w:cs="Arial" w:eastAsia="Arial" w:hAnsi="Arial"/>
                  <w:sz w:val="17"/>
                  <w:szCs w:val="17"/>
                  <w:color w:val="0000FF"/>
                  <w:w w:val="93"/>
                </w:rPr>
                <w:t>Market for Registrant’s Common Equity, Related Stockholder Matters and Issuer Purchases of Equity Securities</w:t>
              </w:r>
            </w:hyperlink>
          </w:p>
        </w:tc>
        <w:tc>
          <w:tcPr>
            <w:tcW w:w="1120" w:type="dxa"/>
            <w:vAlign w:val="bottom"/>
          </w:tcPr>
          <w:p>
            <w:pPr>
              <w:spacing w:after="0"/>
              <w:rPr>
                <w:sz w:val="15"/>
                <w:szCs w:val="15"/>
                <w:color w:val="auto"/>
              </w:rPr>
            </w:pPr>
          </w:p>
        </w:tc>
        <w:tc>
          <w:tcPr>
            <w:tcW w:w="660" w:type="dxa"/>
            <w:vAlign w:val="bottom"/>
            <w:gridSpan w:val="2"/>
          </w:tcPr>
          <w:p>
            <w:pPr>
              <w:jc w:val="center"/>
              <w:ind w:left="393"/>
              <w:spacing w:after="0" w:line="184" w:lineRule="exact"/>
              <w:rPr>
                <w:rFonts w:ascii="Arial" w:cs="Arial" w:eastAsia="Arial" w:hAnsi="Arial"/>
                <w:sz w:val="17"/>
                <w:szCs w:val="17"/>
                <w:color w:val="0000FF"/>
                <w:w w:val="94"/>
              </w:rPr>
            </w:pPr>
            <w:hyperlink w:anchor="page46">
              <w:r>
                <w:rPr>
                  <w:rFonts w:ascii="Arial" w:cs="Arial" w:eastAsia="Arial" w:hAnsi="Arial"/>
                  <w:sz w:val="17"/>
                  <w:szCs w:val="17"/>
                  <w:color w:val="0000FF"/>
                  <w:w w:val="94"/>
                </w:rPr>
                <w:t>45</w:t>
              </w:r>
            </w:hyperlink>
          </w:p>
        </w:tc>
        <w:tc>
          <w:tcPr>
            <w:tcW w:w="460" w:type="dxa"/>
            <w:vAlign w:val="bottom"/>
          </w:tcPr>
          <w:p>
            <w:pPr>
              <w:spacing w:after="0"/>
              <w:rPr>
                <w:sz w:val="15"/>
                <w:szCs w:val="15"/>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6.</w:t>
            </w:r>
          </w:p>
        </w:tc>
        <w:tc>
          <w:tcPr>
            <w:tcW w:w="7840" w:type="dxa"/>
            <w:vAlign w:val="bottom"/>
            <w:gridSpan w:val="16"/>
            <w:shd w:val="clear" w:color="auto" w:fill="CCEEFF"/>
          </w:tcPr>
          <w:p>
            <w:pPr>
              <w:spacing w:after="0" w:line="194" w:lineRule="exact"/>
              <w:rPr>
                <w:rFonts w:ascii="Arial" w:cs="Arial" w:eastAsia="Arial" w:hAnsi="Arial"/>
                <w:sz w:val="17"/>
                <w:szCs w:val="17"/>
                <w:color w:val="0000FF"/>
              </w:rPr>
            </w:pPr>
            <w:hyperlink w:anchor="page47">
              <w:r>
                <w:rPr>
                  <w:rFonts w:ascii="Arial" w:cs="Arial" w:eastAsia="Arial" w:hAnsi="Arial"/>
                  <w:sz w:val="17"/>
                  <w:szCs w:val="17"/>
                  <w:color w:val="0000FF"/>
                </w:rPr>
                <w:t>[Reserved]</w:t>
              </w:r>
            </w:hyperlink>
          </w:p>
        </w:tc>
        <w:tc>
          <w:tcPr>
            <w:tcW w:w="112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left="393"/>
              <w:spacing w:after="0" w:line="194" w:lineRule="exact"/>
              <w:rPr>
                <w:rFonts w:ascii="Arial" w:cs="Arial" w:eastAsia="Arial" w:hAnsi="Arial"/>
                <w:sz w:val="17"/>
                <w:szCs w:val="17"/>
                <w:color w:val="0000FF"/>
                <w:w w:val="94"/>
              </w:rPr>
            </w:pPr>
            <w:hyperlink w:anchor="page47">
              <w:r>
                <w:rPr>
                  <w:rFonts w:ascii="Arial" w:cs="Arial" w:eastAsia="Arial" w:hAnsi="Arial"/>
                  <w:sz w:val="17"/>
                  <w:szCs w:val="17"/>
                  <w:color w:val="0000FF"/>
                  <w:w w:val="94"/>
                </w:rPr>
                <w:t>46</w:t>
              </w:r>
            </w:hyperlink>
          </w:p>
        </w:tc>
        <w:tc>
          <w:tcPr>
            <w:tcW w:w="460" w:type="dxa"/>
            <w:vAlign w:val="bottom"/>
            <w:tcBorders>
              <w:left w:val="single" w:sz="8" w:color="CCEEFF"/>
            </w:tcBorders>
            <w:shd w:val="clear" w:color="auto" w:fill="CCEEFF"/>
          </w:tcPr>
          <w:p>
            <w:pPr>
              <w:spacing w:after="0"/>
              <w:rPr>
                <w:sz w:val="16"/>
                <w:szCs w:val="16"/>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7.</w:t>
            </w:r>
          </w:p>
        </w:tc>
        <w:tc>
          <w:tcPr>
            <w:tcW w:w="8960" w:type="dxa"/>
            <w:vAlign w:val="bottom"/>
            <w:gridSpan w:val="17"/>
          </w:tcPr>
          <w:p>
            <w:pPr>
              <w:spacing w:after="0" w:line="184" w:lineRule="exact"/>
              <w:rPr>
                <w:rFonts w:ascii="Arial" w:cs="Arial" w:eastAsia="Arial" w:hAnsi="Arial"/>
                <w:sz w:val="17"/>
                <w:szCs w:val="17"/>
                <w:color w:val="0000FF"/>
              </w:rPr>
            </w:pPr>
            <w:hyperlink w:anchor="page47">
              <w:r>
                <w:rPr>
                  <w:rFonts w:ascii="Arial" w:cs="Arial" w:eastAsia="Arial" w:hAnsi="Arial"/>
                  <w:sz w:val="17"/>
                  <w:szCs w:val="17"/>
                  <w:color w:val="0000FF"/>
                </w:rPr>
                <w:t>Management’s Discussion and Analysis of Financial Condition and Results of Operations</w:t>
              </w:r>
            </w:hyperlink>
          </w:p>
        </w:tc>
        <w:tc>
          <w:tcPr>
            <w:tcW w:w="660" w:type="dxa"/>
            <w:vAlign w:val="bottom"/>
            <w:gridSpan w:val="2"/>
          </w:tcPr>
          <w:p>
            <w:pPr>
              <w:jc w:val="center"/>
              <w:ind w:left="393"/>
              <w:spacing w:after="0" w:line="184" w:lineRule="exact"/>
              <w:rPr>
                <w:rFonts w:ascii="Arial" w:cs="Arial" w:eastAsia="Arial" w:hAnsi="Arial"/>
                <w:sz w:val="17"/>
                <w:szCs w:val="17"/>
                <w:color w:val="0000FF"/>
                <w:w w:val="94"/>
              </w:rPr>
            </w:pPr>
            <w:hyperlink w:anchor="page47">
              <w:r>
                <w:rPr>
                  <w:rFonts w:ascii="Arial" w:cs="Arial" w:eastAsia="Arial" w:hAnsi="Arial"/>
                  <w:sz w:val="17"/>
                  <w:szCs w:val="17"/>
                  <w:color w:val="0000FF"/>
                  <w:w w:val="94"/>
                </w:rPr>
                <w:t>47</w:t>
              </w:r>
            </w:hyperlink>
          </w:p>
        </w:tc>
        <w:tc>
          <w:tcPr>
            <w:tcW w:w="460" w:type="dxa"/>
            <w:vAlign w:val="bottom"/>
          </w:tcPr>
          <w:p>
            <w:pPr>
              <w:spacing w:after="0"/>
              <w:rPr>
                <w:sz w:val="15"/>
                <w:szCs w:val="15"/>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7A.</w:t>
            </w:r>
          </w:p>
        </w:tc>
        <w:tc>
          <w:tcPr>
            <w:tcW w:w="6260" w:type="dxa"/>
            <w:vAlign w:val="bottom"/>
            <w:gridSpan w:val="14"/>
            <w:shd w:val="clear" w:color="auto" w:fill="CCEEFF"/>
          </w:tcPr>
          <w:p>
            <w:pPr>
              <w:spacing w:after="0" w:line="194" w:lineRule="exact"/>
              <w:rPr>
                <w:rFonts w:ascii="Arial" w:cs="Arial" w:eastAsia="Arial" w:hAnsi="Arial"/>
                <w:sz w:val="17"/>
                <w:szCs w:val="17"/>
                <w:color w:val="0000FF"/>
              </w:rPr>
            </w:pPr>
            <w:hyperlink w:anchor="page63">
              <w:r>
                <w:rPr>
                  <w:rFonts w:ascii="Arial" w:cs="Arial" w:eastAsia="Arial" w:hAnsi="Arial"/>
                  <w:sz w:val="17"/>
                  <w:szCs w:val="17"/>
                  <w:color w:val="0000FF"/>
                </w:rPr>
                <w:t>Quantitative and Qualitative Disclosures About Market Risk</w:t>
              </w:r>
            </w:hyperlink>
          </w:p>
        </w:tc>
        <w:tc>
          <w:tcPr>
            <w:tcW w:w="2700" w:type="dxa"/>
            <w:vAlign w:val="bottom"/>
            <w:tcBorders>
              <w:left w:val="single" w:sz="8" w:color="CCEEFF"/>
            </w:tcBorders>
            <w:gridSpan w:val="3"/>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left="393"/>
              <w:spacing w:after="0" w:line="194" w:lineRule="exact"/>
              <w:rPr>
                <w:rFonts w:ascii="Arial" w:cs="Arial" w:eastAsia="Arial" w:hAnsi="Arial"/>
                <w:sz w:val="17"/>
                <w:szCs w:val="17"/>
                <w:color w:val="0000FF"/>
                <w:w w:val="94"/>
              </w:rPr>
            </w:pPr>
            <w:hyperlink w:anchor="page63">
              <w:r>
                <w:rPr>
                  <w:rFonts w:ascii="Arial" w:cs="Arial" w:eastAsia="Arial" w:hAnsi="Arial"/>
                  <w:sz w:val="17"/>
                  <w:szCs w:val="17"/>
                  <w:color w:val="0000FF"/>
                  <w:w w:val="94"/>
                </w:rPr>
                <w:t>62</w:t>
              </w:r>
            </w:hyperlink>
          </w:p>
        </w:tc>
        <w:tc>
          <w:tcPr>
            <w:tcW w:w="460" w:type="dxa"/>
            <w:vAlign w:val="bottom"/>
            <w:tcBorders>
              <w:left w:val="single" w:sz="8" w:color="CCEEFF"/>
            </w:tcBorders>
            <w:shd w:val="clear" w:color="auto" w:fill="CCEEFF"/>
          </w:tcPr>
          <w:p>
            <w:pPr>
              <w:spacing w:after="0"/>
              <w:rPr>
                <w:sz w:val="16"/>
                <w:szCs w:val="16"/>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8.</w:t>
            </w:r>
          </w:p>
        </w:tc>
        <w:tc>
          <w:tcPr>
            <w:tcW w:w="4220" w:type="dxa"/>
            <w:vAlign w:val="bottom"/>
            <w:gridSpan w:val="11"/>
          </w:tcPr>
          <w:p>
            <w:pPr>
              <w:spacing w:after="0" w:line="184" w:lineRule="exact"/>
              <w:rPr>
                <w:rFonts w:ascii="Arial" w:cs="Arial" w:eastAsia="Arial" w:hAnsi="Arial"/>
                <w:sz w:val="17"/>
                <w:szCs w:val="17"/>
                <w:color w:val="0000FF"/>
              </w:rPr>
            </w:pPr>
            <w:hyperlink w:anchor="page63">
              <w:r>
                <w:rPr>
                  <w:rFonts w:ascii="Arial" w:cs="Arial" w:eastAsia="Arial" w:hAnsi="Arial"/>
                  <w:sz w:val="17"/>
                  <w:szCs w:val="17"/>
                  <w:color w:val="0000FF"/>
                </w:rPr>
                <w:t>Financial Statements and Supplementary Data</w:t>
              </w:r>
            </w:hyperlink>
          </w:p>
        </w:tc>
        <w:tc>
          <w:tcPr>
            <w:tcW w:w="4740" w:type="dxa"/>
            <w:vAlign w:val="bottom"/>
            <w:gridSpan w:val="6"/>
          </w:tcPr>
          <w:p>
            <w:pPr>
              <w:spacing w:after="0"/>
              <w:rPr>
                <w:sz w:val="15"/>
                <w:szCs w:val="15"/>
                <w:color w:val="auto"/>
              </w:rPr>
            </w:pPr>
          </w:p>
        </w:tc>
        <w:tc>
          <w:tcPr>
            <w:tcW w:w="660" w:type="dxa"/>
            <w:vAlign w:val="bottom"/>
            <w:gridSpan w:val="2"/>
          </w:tcPr>
          <w:p>
            <w:pPr>
              <w:jc w:val="center"/>
              <w:ind w:left="393"/>
              <w:spacing w:after="0" w:line="184" w:lineRule="exact"/>
              <w:rPr>
                <w:rFonts w:ascii="Arial" w:cs="Arial" w:eastAsia="Arial" w:hAnsi="Arial"/>
                <w:sz w:val="17"/>
                <w:szCs w:val="17"/>
                <w:color w:val="0000FF"/>
                <w:w w:val="94"/>
              </w:rPr>
            </w:pPr>
            <w:hyperlink w:anchor="page63">
              <w:r>
                <w:rPr>
                  <w:rFonts w:ascii="Arial" w:cs="Arial" w:eastAsia="Arial" w:hAnsi="Arial"/>
                  <w:sz w:val="17"/>
                  <w:szCs w:val="17"/>
                  <w:color w:val="0000FF"/>
                  <w:w w:val="94"/>
                </w:rPr>
                <w:t>63</w:t>
              </w:r>
            </w:hyperlink>
          </w:p>
        </w:tc>
        <w:tc>
          <w:tcPr>
            <w:tcW w:w="460" w:type="dxa"/>
            <w:vAlign w:val="bottom"/>
          </w:tcPr>
          <w:p>
            <w:pPr>
              <w:spacing w:after="0"/>
              <w:rPr>
                <w:sz w:val="15"/>
                <w:szCs w:val="15"/>
                <w:color w:val="auto"/>
              </w:rPr>
            </w:pPr>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9.</w:t>
            </w:r>
          </w:p>
        </w:tc>
        <w:tc>
          <w:tcPr>
            <w:tcW w:w="8960" w:type="dxa"/>
            <w:vAlign w:val="bottom"/>
            <w:gridSpan w:val="17"/>
            <w:shd w:val="clear" w:color="auto" w:fill="CCEEFF"/>
          </w:tcPr>
          <w:p>
            <w:pPr>
              <w:spacing w:after="0" w:line="194" w:lineRule="exact"/>
              <w:rPr>
                <w:rFonts w:ascii="Arial" w:cs="Arial" w:eastAsia="Arial" w:hAnsi="Arial"/>
                <w:sz w:val="17"/>
                <w:szCs w:val="17"/>
                <w:color w:val="0000FF"/>
              </w:rPr>
            </w:pPr>
            <w:hyperlink w:anchor="page108">
              <w:r>
                <w:rPr>
                  <w:rFonts w:ascii="Arial" w:cs="Arial" w:eastAsia="Arial" w:hAnsi="Arial"/>
                  <w:sz w:val="17"/>
                  <w:szCs w:val="17"/>
                  <w:color w:val="0000FF"/>
                </w:rPr>
                <w:t>Changes in and Disagreements with Accountants on Accounting and Financial Disclosure</w:t>
              </w:r>
            </w:hyperlink>
          </w:p>
        </w:tc>
        <w:tc>
          <w:tcPr>
            <w:tcW w:w="1120" w:type="dxa"/>
            <w:vAlign w:val="bottom"/>
            <w:gridSpan w:val="3"/>
            <w:shd w:val="clear" w:color="auto" w:fill="CCEEFF"/>
          </w:tcPr>
          <w:p>
            <w:pPr>
              <w:jc w:val="center"/>
              <w:spacing w:after="0" w:line="194" w:lineRule="exact"/>
              <w:rPr>
                <w:rFonts w:ascii="Arial" w:cs="Arial" w:eastAsia="Arial" w:hAnsi="Arial"/>
                <w:sz w:val="17"/>
                <w:szCs w:val="17"/>
                <w:color w:val="0000FF"/>
                <w:w w:val="91"/>
              </w:rPr>
            </w:pPr>
            <w:hyperlink w:anchor="page108">
              <w:r>
                <w:rPr>
                  <w:rFonts w:ascii="Arial" w:cs="Arial" w:eastAsia="Arial" w:hAnsi="Arial"/>
                  <w:sz w:val="17"/>
                  <w:szCs w:val="17"/>
                  <w:color w:val="0000FF"/>
                  <w:w w:val="91"/>
                </w:rPr>
                <w:t>107</w:t>
              </w:r>
            </w:hyperlink>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9A.</w:t>
            </w:r>
          </w:p>
        </w:tc>
        <w:tc>
          <w:tcPr>
            <w:tcW w:w="1720" w:type="dxa"/>
            <w:vAlign w:val="bottom"/>
            <w:gridSpan w:val="6"/>
          </w:tcPr>
          <w:p>
            <w:pPr>
              <w:spacing w:after="0" w:line="184" w:lineRule="exact"/>
              <w:rPr>
                <w:rFonts w:ascii="Arial" w:cs="Arial" w:eastAsia="Arial" w:hAnsi="Arial"/>
                <w:sz w:val="17"/>
                <w:szCs w:val="17"/>
                <w:color w:val="0000FF"/>
                <w:w w:val="89"/>
              </w:rPr>
            </w:pPr>
            <w:hyperlink w:anchor="page108">
              <w:r>
                <w:rPr>
                  <w:rFonts w:ascii="Arial" w:cs="Arial" w:eastAsia="Arial" w:hAnsi="Arial"/>
                  <w:sz w:val="17"/>
                  <w:szCs w:val="17"/>
                  <w:color w:val="0000FF"/>
                  <w:w w:val="89"/>
                </w:rPr>
                <w:t>Controls and Procedures</w:t>
              </w:r>
            </w:hyperlink>
          </w:p>
        </w:tc>
        <w:tc>
          <w:tcPr>
            <w:tcW w:w="4540" w:type="dxa"/>
            <w:vAlign w:val="bottom"/>
            <w:gridSpan w:val="8"/>
          </w:tcPr>
          <w:p>
            <w:pPr>
              <w:spacing w:after="0"/>
              <w:rPr>
                <w:sz w:val="15"/>
                <w:szCs w:val="15"/>
                <w:color w:val="auto"/>
              </w:rPr>
            </w:pPr>
          </w:p>
        </w:tc>
        <w:tc>
          <w:tcPr>
            <w:tcW w:w="2700" w:type="dxa"/>
            <w:vAlign w:val="bottom"/>
            <w:gridSpan w:val="3"/>
          </w:tcPr>
          <w:p>
            <w:pPr>
              <w:spacing w:after="0"/>
              <w:rPr>
                <w:sz w:val="15"/>
                <w:szCs w:val="15"/>
                <w:color w:val="auto"/>
              </w:rPr>
            </w:pPr>
          </w:p>
        </w:tc>
        <w:tc>
          <w:tcPr>
            <w:tcW w:w="1120" w:type="dxa"/>
            <w:vAlign w:val="bottom"/>
            <w:gridSpan w:val="3"/>
          </w:tcPr>
          <w:p>
            <w:pPr>
              <w:jc w:val="center"/>
              <w:spacing w:after="0" w:line="184" w:lineRule="exact"/>
              <w:rPr>
                <w:rFonts w:ascii="Arial" w:cs="Arial" w:eastAsia="Arial" w:hAnsi="Arial"/>
                <w:sz w:val="17"/>
                <w:szCs w:val="17"/>
                <w:color w:val="0000FF"/>
                <w:w w:val="91"/>
              </w:rPr>
            </w:pPr>
            <w:hyperlink w:anchor="page108">
              <w:r>
                <w:rPr>
                  <w:rFonts w:ascii="Arial" w:cs="Arial" w:eastAsia="Arial" w:hAnsi="Arial"/>
                  <w:sz w:val="17"/>
                  <w:szCs w:val="17"/>
                  <w:color w:val="0000FF"/>
                  <w:w w:val="91"/>
                </w:rPr>
                <w:t>107</w:t>
              </w:r>
            </w:hyperlink>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9B.</w:t>
            </w:r>
          </w:p>
        </w:tc>
        <w:tc>
          <w:tcPr>
            <w:tcW w:w="1300" w:type="dxa"/>
            <w:vAlign w:val="bottom"/>
            <w:tcBorders>
              <w:right w:val="single" w:sz="8" w:color="CCEEFF"/>
            </w:tcBorders>
            <w:gridSpan w:val="4"/>
            <w:shd w:val="clear" w:color="auto" w:fill="CCEEFF"/>
          </w:tcPr>
          <w:p>
            <w:pPr>
              <w:spacing w:after="0" w:line="194" w:lineRule="exact"/>
              <w:rPr>
                <w:rFonts w:ascii="Arial" w:cs="Arial" w:eastAsia="Arial" w:hAnsi="Arial"/>
                <w:sz w:val="17"/>
                <w:szCs w:val="17"/>
                <w:color w:val="0000FF"/>
                <w:w w:val="95"/>
              </w:rPr>
            </w:pPr>
            <w:hyperlink w:anchor="page109">
              <w:r>
                <w:rPr>
                  <w:rFonts w:ascii="Arial" w:cs="Arial" w:eastAsia="Arial" w:hAnsi="Arial"/>
                  <w:sz w:val="17"/>
                  <w:szCs w:val="17"/>
                  <w:color w:val="0000FF"/>
                  <w:w w:val="95"/>
                </w:rPr>
                <w:t>Other Information</w:t>
              </w:r>
            </w:hyperlink>
          </w:p>
        </w:tc>
        <w:tc>
          <w:tcPr>
            <w:tcW w:w="420" w:type="dxa"/>
            <w:vAlign w:val="bottom"/>
            <w:gridSpan w:val="2"/>
            <w:shd w:val="clear" w:color="auto" w:fill="CCEEFF"/>
          </w:tcPr>
          <w:p>
            <w:pPr>
              <w:spacing w:after="0"/>
              <w:rPr>
                <w:sz w:val="16"/>
                <w:szCs w:val="16"/>
                <w:color w:val="auto"/>
              </w:rPr>
            </w:pPr>
          </w:p>
        </w:tc>
        <w:tc>
          <w:tcPr>
            <w:tcW w:w="7240" w:type="dxa"/>
            <w:vAlign w:val="bottom"/>
            <w:tcBorders>
              <w:left w:val="single" w:sz="8" w:color="CCEEFF"/>
            </w:tcBorders>
            <w:gridSpan w:val="11"/>
            <w:shd w:val="clear" w:color="auto" w:fill="CCEEFF"/>
          </w:tcPr>
          <w:p>
            <w:pPr>
              <w:spacing w:after="0"/>
              <w:rPr>
                <w:sz w:val="16"/>
                <w:szCs w:val="16"/>
                <w:color w:val="auto"/>
              </w:rPr>
            </w:pPr>
          </w:p>
        </w:tc>
        <w:tc>
          <w:tcPr>
            <w:tcW w:w="1120" w:type="dxa"/>
            <w:vAlign w:val="bottom"/>
            <w:gridSpan w:val="3"/>
            <w:shd w:val="clear" w:color="auto" w:fill="CCEEFF"/>
          </w:tcPr>
          <w:p>
            <w:pPr>
              <w:jc w:val="center"/>
              <w:spacing w:after="0" w:line="194" w:lineRule="exact"/>
              <w:rPr>
                <w:rFonts w:ascii="Arial" w:cs="Arial" w:eastAsia="Arial" w:hAnsi="Arial"/>
                <w:sz w:val="17"/>
                <w:szCs w:val="17"/>
                <w:color w:val="0000FF"/>
                <w:w w:val="91"/>
              </w:rPr>
            </w:pPr>
            <w:hyperlink w:anchor="page109">
              <w:r>
                <w:rPr>
                  <w:rFonts w:ascii="Arial" w:cs="Arial" w:eastAsia="Arial" w:hAnsi="Arial"/>
                  <w:sz w:val="17"/>
                  <w:szCs w:val="17"/>
                  <w:color w:val="0000FF"/>
                  <w:w w:val="91"/>
                </w:rPr>
                <w:t>108</w:t>
              </w:r>
            </w:hyperlink>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9C.</w:t>
            </w:r>
          </w:p>
        </w:tc>
        <w:tc>
          <w:tcPr>
            <w:tcW w:w="4760" w:type="dxa"/>
            <w:vAlign w:val="bottom"/>
            <w:gridSpan w:val="12"/>
          </w:tcPr>
          <w:p>
            <w:pPr>
              <w:spacing w:after="0" w:line="184" w:lineRule="exact"/>
              <w:rPr>
                <w:rFonts w:ascii="Arial" w:cs="Arial" w:eastAsia="Arial" w:hAnsi="Arial"/>
                <w:sz w:val="17"/>
                <w:szCs w:val="17"/>
                <w:color w:val="0000FF"/>
                <w:w w:val="92"/>
              </w:rPr>
            </w:pPr>
            <w:hyperlink w:anchor="page109">
              <w:r>
                <w:rPr>
                  <w:rFonts w:ascii="Arial" w:cs="Arial" w:eastAsia="Arial" w:hAnsi="Arial"/>
                  <w:sz w:val="17"/>
                  <w:szCs w:val="17"/>
                  <w:color w:val="0000FF"/>
                  <w:w w:val="92"/>
                </w:rPr>
                <w:t>Disclosure Regarding Foreign Jurisdictions that Prevent Inspections</w:t>
              </w:r>
            </w:hyperlink>
          </w:p>
        </w:tc>
        <w:tc>
          <w:tcPr>
            <w:tcW w:w="4200" w:type="dxa"/>
            <w:vAlign w:val="bottom"/>
            <w:gridSpan w:val="5"/>
          </w:tcPr>
          <w:p>
            <w:pPr>
              <w:spacing w:after="0"/>
              <w:rPr>
                <w:sz w:val="15"/>
                <w:szCs w:val="15"/>
                <w:color w:val="auto"/>
              </w:rPr>
            </w:pPr>
          </w:p>
        </w:tc>
        <w:tc>
          <w:tcPr>
            <w:tcW w:w="1120" w:type="dxa"/>
            <w:vAlign w:val="bottom"/>
            <w:gridSpan w:val="3"/>
          </w:tcPr>
          <w:p>
            <w:pPr>
              <w:jc w:val="center"/>
              <w:spacing w:after="0" w:line="184" w:lineRule="exact"/>
              <w:rPr>
                <w:rFonts w:ascii="Arial" w:cs="Arial" w:eastAsia="Arial" w:hAnsi="Arial"/>
                <w:sz w:val="17"/>
                <w:szCs w:val="17"/>
                <w:color w:val="0000FF"/>
                <w:w w:val="91"/>
              </w:rPr>
            </w:pPr>
            <w:hyperlink w:anchor="page109">
              <w:r>
                <w:rPr>
                  <w:rFonts w:ascii="Arial" w:cs="Arial" w:eastAsia="Arial" w:hAnsi="Arial"/>
                  <w:sz w:val="17"/>
                  <w:szCs w:val="17"/>
                  <w:color w:val="0000FF"/>
                  <w:w w:val="91"/>
                </w:rPr>
                <w:t>108</w:t>
              </w:r>
            </w:hyperlink>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r>
      <w:tr>
        <w:trPr>
          <w:trHeight w:val="233"/>
        </w:trPr>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980" w:type="dxa"/>
            <w:vAlign w:val="bottom"/>
            <w:gridSpan w:val="7"/>
            <w:shd w:val="clear" w:color="auto" w:fill="CCEEFF"/>
          </w:tcPr>
          <w:p>
            <w:pPr>
              <w:jc w:val="center"/>
              <w:ind w:right="3960"/>
              <w:spacing w:after="0"/>
              <w:rPr>
                <w:sz w:val="20"/>
                <w:szCs w:val="20"/>
                <w:color w:val="auto"/>
              </w:rPr>
            </w:pPr>
            <w:r>
              <w:rPr>
                <w:rFonts w:ascii="Arial" w:cs="Arial" w:eastAsia="Arial" w:hAnsi="Arial"/>
                <w:sz w:val="17"/>
                <w:szCs w:val="17"/>
                <w:b w:val="1"/>
                <w:bCs w:val="1"/>
                <w:color w:val="auto"/>
              </w:rPr>
              <w:t>Part III</w:t>
            </w:r>
          </w:p>
        </w:tc>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10.</w:t>
            </w:r>
          </w:p>
        </w:tc>
        <w:tc>
          <w:tcPr>
            <w:tcW w:w="3980" w:type="dxa"/>
            <w:vAlign w:val="bottom"/>
            <w:gridSpan w:val="10"/>
          </w:tcPr>
          <w:p>
            <w:pPr>
              <w:spacing w:after="0" w:line="184" w:lineRule="exact"/>
              <w:rPr>
                <w:rFonts w:ascii="Arial" w:cs="Arial" w:eastAsia="Arial" w:hAnsi="Arial"/>
                <w:sz w:val="17"/>
                <w:szCs w:val="17"/>
                <w:color w:val="0000FF"/>
                <w:w w:val="93"/>
              </w:rPr>
            </w:pPr>
            <w:hyperlink w:anchor="page109">
              <w:r>
                <w:rPr>
                  <w:rFonts w:ascii="Arial" w:cs="Arial" w:eastAsia="Arial" w:hAnsi="Arial"/>
                  <w:sz w:val="17"/>
                  <w:szCs w:val="17"/>
                  <w:color w:val="0000FF"/>
                  <w:w w:val="93"/>
                </w:rPr>
                <w:t>Directors, Executive Officers and Corporate Governance</w:t>
              </w:r>
            </w:hyperlink>
          </w:p>
        </w:tc>
        <w:tc>
          <w:tcPr>
            <w:tcW w:w="4980" w:type="dxa"/>
            <w:vAlign w:val="bottom"/>
            <w:gridSpan w:val="7"/>
          </w:tcPr>
          <w:p>
            <w:pPr>
              <w:spacing w:after="0"/>
              <w:rPr>
                <w:sz w:val="15"/>
                <w:szCs w:val="15"/>
                <w:color w:val="auto"/>
              </w:rPr>
            </w:pPr>
          </w:p>
        </w:tc>
        <w:tc>
          <w:tcPr>
            <w:tcW w:w="1120" w:type="dxa"/>
            <w:vAlign w:val="bottom"/>
            <w:gridSpan w:val="3"/>
          </w:tcPr>
          <w:p>
            <w:pPr>
              <w:jc w:val="center"/>
              <w:spacing w:after="0" w:line="184" w:lineRule="exact"/>
              <w:rPr>
                <w:rFonts w:ascii="Arial" w:cs="Arial" w:eastAsia="Arial" w:hAnsi="Arial"/>
                <w:sz w:val="17"/>
                <w:szCs w:val="17"/>
                <w:color w:val="0000FF"/>
                <w:w w:val="91"/>
              </w:rPr>
            </w:pPr>
            <w:hyperlink w:anchor="page109">
              <w:r>
                <w:rPr>
                  <w:rFonts w:ascii="Arial" w:cs="Arial" w:eastAsia="Arial" w:hAnsi="Arial"/>
                  <w:sz w:val="17"/>
                  <w:szCs w:val="17"/>
                  <w:color w:val="0000FF"/>
                  <w:w w:val="91"/>
                </w:rPr>
                <w:t>108</w:t>
              </w:r>
            </w:hyperlink>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11.</w:t>
            </w:r>
          </w:p>
        </w:tc>
        <w:tc>
          <w:tcPr>
            <w:tcW w:w="3980" w:type="dxa"/>
            <w:vAlign w:val="bottom"/>
            <w:gridSpan w:val="10"/>
            <w:shd w:val="clear" w:color="auto" w:fill="CCEEFF"/>
          </w:tcPr>
          <w:p>
            <w:pPr>
              <w:spacing w:after="0" w:line="194" w:lineRule="exact"/>
              <w:rPr>
                <w:rFonts w:ascii="Arial" w:cs="Arial" w:eastAsia="Arial" w:hAnsi="Arial"/>
                <w:sz w:val="17"/>
                <w:szCs w:val="17"/>
                <w:color w:val="0000FF"/>
              </w:rPr>
            </w:pPr>
            <w:hyperlink w:anchor="page109">
              <w:r>
                <w:rPr>
                  <w:rFonts w:ascii="Arial" w:cs="Arial" w:eastAsia="Arial" w:hAnsi="Arial"/>
                  <w:sz w:val="17"/>
                  <w:szCs w:val="17"/>
                  <w:color w:val="0000FF"/>
                </w:rPr>
                <w:t>Executive Compensation</w:t>
              </w:r>
            </w:hyperlink>
          </w:p>
        </w:tc>
        <w:tc>
          <w:tcPr>
            <w:tcW w:w="4980" w:type="dxa"/>
            <w:vAlign w:val="bottom"/>
            <w:gridSpan w:val="7"/>
            <w:shd w:val="clear" w:color="auto" w:fill="CCEEFF"/>
          </w:tcPr>
          <w:p>
            <w:pPr>
              <w:spacing w:after="0"/>
              <w:rPr>
                <w:sz w:val="16"/>
                <w:szCs w:val="16"/>
                <w:color w:val="auto"/>
              </w:rPr>
            </w:pPr>
          </w:p>
        </w:tc>
        <w:tc>
          <w:tcPr>
            <w:tcW w:w="1120" w:type="dxa"/>
            <w:vAlign w:val="bottom"/>
            <w:gridSpan w:val="3"/>
            <w:shd w:val="clear" w:color="auto" w:fill="CCEEFF"/>
          </w:tcPr>
          <w:p>
            <w:pPr>
              <w:jc w:val="center"/>
              <w:spacing w:after="0" w:line="194" w:lineRule="exact"/>
              <w:rPr>
                <w:rFonts w:ascii="Arial" w:cs="Arial" w:eastAsia="Arial" w:hAnsi="Arial"/>
                <w:sz w:val="17"/>
                <w:szCs w:val="17"/>
                <w:color w:val="0000FF"/>
                <w:w w:val="91"/>
              </w:rPr>
            </w:pPr>
            <w:hyperlink w:anchor="page109">
              <w:r>
                <w:rPr>
                  <w:rFonts w:ascii="Arial" w:cs="Arial" w:eastAsia="Arial" w:hAnsi="Arial"/>
                  <w:sz w:val="17"/>
                  <w:szCs w:val="17"/>
                  <w:color w:val="0000FF"/>
                  <w:w w:val="91"/>
                </w:rPr>
                <w:t>108</w:t>
              </w:r>
            </w:hyperlink>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12.</w:t>
            </w:r>
          </w:p>
        </w:tc>
        <w:tc>
          <w:tcPr>
            <w:tcW w:w="7080" w:type="dxa"/>
            <w:vAlign w:val="bottom"/>
            <w:gridSpan w:val="15"/>
          </w:tcPr>
          <w:p>
            <w:pPr>
              <w:spacing w:after="0" w:line="184" w:lineRule="exact"/>
              <w:rPr>
                <w:rFonts w:ascii="Arial" w:cs="Arial" w:eastAsia="Arial" w:hAnsi="Arial"/>
                <w:sz w:val="17"/>
                <w:szCs w:val="17"/>
                <w:color w:val="0000FF"/>
                <w:w w:val="93"/>
              </w:rPr>
            </w:pPr>
            <w:hyperlink w:anchor="page109">
              <w:r>
                <w:rPr>
                  <w:rFonts w:ascii="Arial" w:cs="Arial" w:eastAsia="Arial" w:hAnsi="Arial"/>
                  <w:sz w:val="17"/>
                  <w:szCs w:val="17"/>
                  <w:color w:val="0000FF"/>
                  <w:w w:val="93"/>
                </w:rPr>
                <w:t>Security Ownership of Certain Beneficial Owners and Management and Related Stockholder Matters</w:t>
              </w:r>
            </w:hyperlink>
          </w:p>
        </w:tc>
        <w:tc>
          <w:tcPr>
            <w:tcW w:w="1880" w:type="dxa"/>
            <w:vAlign w:val="bottom"/>
            <w:gridSpan w:val="2"/>
          </w:tcPr>
          <w:p>
            <w:pPr>
              <w:spacing w:after="0"/>
              <w:rPr>
                <w:sz w:val="15"/>
                <w:szCs w:val="15"/>
                <w:color w:val="auto"/>
              </w:rPr>
            </w:pPr>
          </w:p>
        </w:tc>
        <w:tc>
          <w:tcPr>
            <w:tcW w:w="1120" w:type="dxa"/>
            <w:vAlign w:val="bottom"/>
            <w:gridSpan w:val="3"/>
          </w:tcPr>
          <w:p>
            <w:pPr>
              <w:jc w:val="center"/>
              <w:spacing w:after="0" w:line="184" w:lineRule="exact"/>
              <w:rPr>
                <w:rFonts w:ascii="Arial" w:cs="Arial" w:eastAsia="Arial" w:hAnsi="Arial"/>
                <w:sz w:val="17"/>
                <w:szCs w:val="17"/>
                <w:color w:val="0000FF"/>
                <w:w w:val="91"/>
              </w:rPr>
            </w:pPr>
            <w:hyperlink w:anchor="page109">
              <w:r>
                <w:rPr>
                  <w:rFonts w:ascii="Arial" w:cs="Arial" w:eastAsia="Arial" w:hAnsi="Arial"/>
                  <w:sz w:val="17"/>
                  <w:szCs w:val="17"/>
                  <w:color w:val="0000FF"/>
                  <w:w w:val="91"/>
                </w:rPr>
                <w:t>108</w:t>
              </w:r>
            </w:hyperlink>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13.</w:t>
            </w:r>
          </w:p>
        </w:tc>
        <w:tc>
          <w:tcPr>
            <w:tcW w:w="5300" w:type="dxa"/>
            <w:vAlign w:val="bottom"/>
            <w:gridSpan w:val="13"/>
            <w:shd w:val="clear" w:color="auto" w:fill="CCEEFF"/>
          </w:tcPr>
          <w:p>
            <w:pPr>
              <w:spacing w:after="0" w:line="194" w:lineRule="exact"/>
              <w:rPr>
                <w:rFonts w:ascii="Arial" w:cs="Arial" w:eastAsia="Arial" w:hAnsi="Arial"/>
                <w:sz w:val="17"/>
                <w:szCs w:val="17"/>
                <w:color w:val="0000FF"/>
                <w:w w:val="91"/>
              </w:rPr>
            </w:pPr>
            <w:hyperlink w:anchor="page109">
              <w:r>
                <w:rPr>
                  <w:rFonts w:ascii="Arial" w:cs="Arial" w:eastAsia="Arial" w:hAnsi="Arial"/>
                  <w:sz w:val="17"/>
                  <w:szCs w:val="17"/>
                  <w:color w:val="0000FF"/>
                  <w:w w:val="91"/>
                </w:rPr>
                <w:t>Certain Relationships and Related Transactions, and Director Independence</w:t>
              </w:r>
            </w:hyperlink>
          </w:p>
        </w:tc>
        <w:tc>
          <w:tcPr>
            <w:tcW w:w="1780" w:type="dxa"/>
            <w:vAlign w:val="bottom"/>
            <w:gridSpan w:val="2"/>
            <w:shd w:val="clear" w:color="auto" w:fill="CCEEFF"/>
          </w:tcPr>
          <w:p>
            <w:pPr>
              <w:spacing w:after="0"/>
              <w:rPr>
                <w:sz w:val="16"/>
                <w:szCs w:val="16"/>
                <w:color w:val="auto"/>
              </w:rPr>
            </w:pPr>
          </w:p>
        </w:tc>
        <w:tc>
          <w:tcPr>
            <w:tcW w:w="1880" w:type="dxa"/>
            <w:vAlign w:val="bottom"/>
            <w:gridSpan w:val="2"/>
            <w:shd w:val="clear" w:color="auto" w:fill="CCEEFF"/>
          </w:tcPr>
          <w:p>
            <w:pPr>
              <w:spacing w:after="0"/>
              <w:rPr>
                <w:sz w:val="16"/>
                <w:szCs w:val="16"/>
                <w:color w:val="auto"/>
              </w:rPr>
            </w:pPr>
          </w:p>
        </w:tc>
        <w:tc>
          <w:tcPr>
            <w:tcW w:w="1120" w:type="dxa"/>
            <w:vAlign w:val="bottom"/>
            <w:gridSpan w:val="3"/>
            <w:shd w:val="clear" w:color="auto" w:fill="CCEEFF"/>
          </w:tcPr>
          <w:p>
            <w:pPr>
              <w:jc w:val="center"/>
              <w:spacing w:after="0" w:line="194" w:lineRule="exact"/>
              <w:rPr>
                <w:rFonts w:ascii="Arial" w:cs="Arial" w:eastAsia="Arial" w:hAnsi="Arial"/>
                <w:sz w:val="17"/>
                <w:szCs w:val="17"/>
                <w:color w:val="0000FF"/>
                <w:w w:val="91"/>
              </w:rPr>
            </w:pPr>
            <w:hyperlink w:anchor="page109">
              <w:r>
                <w:rPr>
                  <w:rFonts w:ascii="Arial" w:cs="Arial" w:eastAsia="Arial" w:hAnsi="Arial"/>
                  <w:sz w:val="17"/>
                  <w:szCs w:val="17"/>
                  <w:color w:val="0000FF"/>
                  <w:w w:val="91"/>
                </w:rPr>
                <w:t>108</w:t>
              </w:r>
            </w:hyperlink>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r>
        <w:trPr>
          <w:trHeight w:val="193"/>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14.</w:t>
            </w:r>
          </w:p>
        </w:tc>
        <w:tc>
          <w:tcPr>
            <w:tcW w:w="5300" w:type="dxa"/>
            <w:vAlign w:val="bottom"/>
            <w:gridSpan w:val="13"/>
          </w:tcPr>
          <w:p>
            <w:pPr>
              <w:spacing w:after="0" w:line="184" w:lineRule="exact"/>
              <w:rPr>
                <w:rFonts w:ascii="Arial" w:cs="Arial" w:eastAsia="Arial" w:hAnsi="Arial"/>
                <w:sz w:val="17"/>
                <w:szCs w:val="17"/>
                <w:color w:val="0000FF"/>
              </w:rPr>
            </w:pPr>
            <w:hyperlink w:anchor="page109">
              <w:r>
                <w:rPr>
                  <w:rFonts w:ascii="Arial" w:cs="Arial" w:eastAsia="Arial" w:hAnsi="Arial"/>
                  <w:sz w:val="17"/>
                  <w:szCs w:val="17"/>
                  <w:color w:val="0000FF"/>
                </w:rPr>
                <w:t>Principal Accountant Fees and Services</w:t>
              </w:r>
            </w:hyperlink>
          </w:p>
        </w:tc>
        <w:tc>
          <w:tcPr>
            <w:tcW w:w="3660" w:type="dxa"/>
            <w:vAlign w:val="bottom"/>
            <w:gridSpan w:val="4"/>
          </w:tcPr>
          <w:p>
            <w:pPr>
              <w:spacing w:after="0"/>
              <w:rPr>
                <w:sz w:val="16"/>
                <w:szCs w:val="16"/>
                <w:color w:val="auto"/>
              </w:rPr>
            </w:pPr>
          </w:p>
        </w:tc>
        <w:tc>
          <w:tcPr>
            <w:tcW w:w="1120" w:type="dxa"/>
            <w:vAlign w:val="bottom"/>
            <w:gridSpan w:val="3"/>
          </w:tcPr>
          <w:p>
            <w:pPr>
              <w:jc w:val="center"/>
              <w:spacing w:after="0" w:line="184" w:lineRule="exact"/>
              <w:rPr>
                <w:rFonts w:ascii="Arial" w:cs="Arial" w:eastAsia="Arial" w:hAnsi="Arial"/>
                <w:sz w:val="17"/>
                <w:szCs w:val="17"/>
                <w:color w:val="0000FF"/>
                <w:w w:val="91"/>
              </w:rPr>
            </w:pPr>
            <w:hyperlink w:anchor="page109">
              <w:r>
                <w:rPr>
                  <w:rFonts w:ascii="Arial" w:cs="Arial" w:eastAsia="Arial" w:hAnsi="Arial"/>
                  <w:sz w:val="17"/>
                  <w:szCs w:val="17"/>
                  <w:color w:val="0000FF"/>
                  <w:w w:val="91"/>
                </w:rPr>
                <w:t>108</w:t>
              </w:r>
            </w:hyperlink>
          </w:p>
        </w:tc>
      </w:tr>
      <w:tr>
        <w:trPr>
          <w:trHeight w:val="233"/>
        </w:trPr>
        <w:tc>
          <w:tcPr>
            <w:tcW w:w="1120" w:type="dxa"/>
            <w:vAlign w:val="bottom"/>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42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left w:val="single" w:sz="8" w:color="CCEEFF"/>
            </w:tcBorders>
            <w:shd w:val="clear" w:color="auto" w:fill="CCEEFF"/>
          </w:tcPr>
          <w:p>
            <w:pPr>
              <w:spacing w:after="0"/>
              <w:rPr>
                <w:sz w:val="20"/>
                <w:szCs w:val="20"/>
                <w:color w:val="auto"/>
              </w:rPr>
            </w:pPr>
          </w:p>
        </w:tc>
        <w:tc>
          <w:tcPr>
            <w:tcW w:w="840" w:type="dxa"/>
            <w:vAlign w:val="bottom"/>
            <w:tcBorders>
              <w:top w:val="single" w:sz="8" w:color="0000FF"/>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980" w:type="dxa"/>
            <w:vAlign w:val="bottom"/>
            <w:gridSpan w:val="7"/>
            <w:shd w:val="clear" w:color="auto" w:fill="CCEEFF"/>
          </w:tcPr>
          <w:p>
            <w:pPr>
              <w:jc w:val="center"/>
              <w:ind w:right="3980"/>
              <w:spacing w:after="0"/>
              <w:rPr>
                <w:sz w:val="20"/>
                <w:szCs w:val="20"/>
                <w:color w:val="auto"/>
              </w:rPr>
            </w:pPr>
            <w:r>
              <w:rPr>
                <w:rFonts w:ascii="Arial" w:cs="Arial" w:eastAsia="Arial" w:hAnsi="Arial"/>
                <w:sz w:val="17"/>
                <w:szCs w:val="17"/>
                <w:b w:val="1"/>
                <w:bCs w:val="1"/>
                <w:color w:val="auto"/>
              </w:rPr>
              <w:t>Part IV</w:t>
            </w:r>
          </w:p>
        </w:tc>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r>
      <w:tr>
        <w:trPr>
          <w:trHeight w:val="184"/>
        </w:trPr>
        <w:tc>
          <w:tcPr>
            <w:tcW w:w="1120" w:type="dxa"/>
            <w:vAlign w:val="bottom"/>
          </w:tcPr>
          <w:p>
            <w:pPr>
              <w:ind w:left="20"/>
              <w:spacing w:after="0" w:line="184" w:lineRule="exact"/>
              <w:rPr>
                <w:sz w:val="20"/>
                <w:szCs w:val="20"/>
                <w:color w:val="auto"/>
              </w:rPr>
            </w:pPr>
            <w:r>
              <w:rPr>
                <w:rFonts w:ascii="Arial" w:cs="Arial" w:eastAsia="Arial" w:hAnsi="Arial"/>
                <w:sz w:val="17"/>
                <w:szCs w:val="17"/>
                <w:color w:val="auto"/>
              </w:rPr>
              <w:t>Item 15.</w:t>
            </w:r>
          </w:p>
        </w:tc>
        <w:tc>
          <w:tcPr>
            <w:tcW w:w="2820" w:type="dxa"/>
            <w:vAlign w:val="bottom"/>
            <w:gridSpan w:val="8"/>
          </w:tcPr>
          <w:p>
            <w:pPr>
              <w:spacing w:after="0" w:line="184" w:lineRule="exact"/>
              <w:rPr>
                <w:rFonts w:ascii="Arial" w:cs="Arial" w:eastAsia="Arial" w:hAnsi="Arial"/>
                <w:sz w:val="17"/>
                <w:szCs w:val="17"/>
                <w:color w:val="0000FF"/>
                <w:w w:val="91"/>
              </w:rPr>
            </w:pPr>
            <w:hyperlink w:anchor="page110">
              <w:r>
                <w:rPr>
                  <w:rFonts w:ascii="Arial" w:cs="Arial" w:eastAsia="Arial" w:hAnsi="Arial"/>
                  <w:sz w:val="17"/>
                  <w:szCs w:val="17"/>
                  <w:color w:val="0000FF"/>
                  <w:w w:val="91"/>
                </w:rPr>
                <w:t>Exhibits, Financial Statement Schedules</w:t>
              </w:r>
            </w:hyperlink>
          </w:p>
        </w:tc>
        <w:tc>
          <w:tcPr>
            <w:tcW w:w="6140" w:type="dxa"/>
            <w:vAlign w:val="bottom"/>
            <w:gridSpan w:val="9"/>
          </w:tcPr>
          <w:p>
            <w:pPr>
              <w:spacing w:after="0"/>
              <w:rPr>
                <w:sz w:val="15"/>
                <w:szCs w:val="15"/>
                <w:color w:val="auto"/>
              </w:rPr>
            </w:pPr>
          </w:p>
        </w:tc>
        <w:tc>
          <w:tcPr>
            <w:tcW w:w="1120" w:type="dxa"/>
            <w:vAlign w:val="bottom"/>
            <w:gridSpan w:val="3"/>
          </w:tcPr>
          <w:p>
            <w:pPr>
              <w:jc w:val="center"/>
              <w:spacing w:after="0" w:line="184" w:lineRule="exact"/>
              <w:rPr>
                <w:rFonts w:ascii="Arial" w:cs="Arial" w:eastAsia="Arial" w:hAnsi="Arial"/>
                <w:sz w:val="17"/>
                <w:szCs w:val="17"/>
                <w:color w:val="0000FF"/>
                <w:w w:val="91"/>
              </w:rPr>
            </w:pPr>
            <w:hyperlink w:anchor="page110">
              <w:r>
                <w:rPr>
                  <w:rFonts w:ascii="Arial" w:cs="Arial" w:eastAsia="Arial" w:hAnsi="Arial"/>
                  <w:sz w:val="17"/>
                  <w:szCs w:val="17"/>
                  <w:color w:val="0000FF"/>
                  <w:w w:val="91"/>
                </w:rPr>
                <w:t>109</w:t>
              </w:r>
            </w:hyperlink>
          </w:p>
        </w:tc>
      </w:tr>
      <w:tr>
        <w:trPr>
          <w:trHeight w:val="30"/>
        </w:trPr>
        <w:tc>
          <w:tcPr>
            <w:tcW w:w="11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r>
      <w:tr>
        <w:trPr>
          <w:trHeight w:val="193"/>
        </w:trPr>
        <w:tc>
          <w:tcPr>
            <w:tcW w:w="1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16.</w:t>
            </w:r>
          </w:p>
        </w:tc>
        <w:tc>
          <w:tcPr>
            <w:tcW w:w="2820" w:type="dxa"/>
            <w:vAlign w:val="bottom"/>
            <w:tcBorders>
              <w:right w:val="single" w:sz="8" w:color="CCEEFF"/>
            </w:tcBorders>
            <w:gridSpan w:val="8"/>
            <w:shd w:val="clear" w:color="auto" w:fill="CCEEFF"/>
          </w:tcPr>
          <w:p>
            <w:pPr>
              <w:spacing w:after="0" w:line="194" w:lineRule="exact"/>
              <w:rPr>
                <w:rFonts w:ascii="Arial" w:cs="Arial" w:eastAsia="Arial" w:hAnsi="Arial"/>
                <w:sz w:val="17"/>
                <w:szCs w:val="17"/>
                <w:color w:val="0000FF"/>
              </w:rPr>
            </w:pPr>
            <w:hyperlink w:anchor="page113">
              <w:r>
                <w:rPr>
                  <w:rFonts w:ascii="Arial" w:cs="Arial" w:eastAsia="Arial" w:hAnsi="Arial"/>
                  <w:sz w:val="17"/>
                  <w:szCs w:val="17"/>
                  <w:color w:val="0000FF"/>
                </w:rPr>
                <w:t>Form 10-K Summary</w:t>
              </w:r>
            </w:hyperlink>
          </w:p>
        </w:tc>
        <w:tc>
          <w:tcPr>
            <w:tcW w:w="6140" w:type="dxa"/>
            <w:vAlign w:val="bottom"/>
            <w:gridSpan w:val="9"/>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center"/>
              <w:ind w:left="313"/>
              <w:spacing w:after="0" w:line="194" w:lineRule="exact"/>
              <w:rPr>
                <w:rFonts w:ascii="Arial" w:cs="Arial" w:eastAsia="Arial" w:hAnsi="Arial"/>
                <w:sz w:val="17"/>
                <w:szCs w:val="17"/>
                <w:color w:val="0000FF"/>
                <w:w w:val="91"/>
              </w:rPr>
            </w:pPr>
            <w:hyperlink w:anchor="page113">
              <w:r>
                <w:rPr>
                  <w:rFonts w:ascii="Arial" w:cs="Arial" w:eastAsia="Arial" w:hAnsi="Arial"/>
                  <w:sz w:val="17"/>
                  <w:szCs w:val="17"/>
                  <w:color w:val="0000FF"/>
                  <w:w w:val="91"/>
                </w:rPr>
                <w:t>113</w:t>
              </w:r>
            </w:hyperlink>
          </w:p>
        </w:tc>
        <w:tc>
          <w:tcPr>
            <w:tcW w:w="460" w:type="dxa"/>
            <w:vAlign w:val="bottom"/>
            <w:tcBorders>
              <w:left w:val="single" w:sz="8" w:color="CCEEFF"/>
            </w:tcBorders>
            <w:shd w:val="clear" w:color="auto" w:fill="CCEEFF"/>
          </w:tcPr>
          <w:p>
            <w:pPr>
              <w:spacing w:after="0"/>
              <w:rPr>
                <w:sz w:val="16"/>
                <w:szCs w:val="16"/>
                <w:color w:val="auto"/>
              </w:rPr>
            </w:pPr>
          </w:p>
        </w:tc>
      </w:tr>
      <w:tr>
        <w:trPr>
          <w:trHeight w:val="39"/>
        </w:trPr>
        <w:tc>
          <w:tcPr>
            <w:tcW w:w="11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6"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11" w:lineRule="exact"/>
        <w:rPr>
          <w:sz w:val="20"/>
          <w:szCs w:val="20"/>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50" w:lineRule="exact"/>
        <w:rPr>
          <w:rFonts w:ascii="Arial" w:cs="Arial" w:eastAsia="Arial" w:hAnsi="Arial"/>
          <w:sz w:val="17"/>
          <w:szCs w:val="17"/>
          <w:color w:val="auto"/>
        </w:rPr>
      </w:pPr>
    </w:p>
    <w:p>
      <w:pPr>
        <w:ind w:left="720" w:right="4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84" w:lineRule="exact"/>
        <w:rPr>
          <w:rFonts w:ascii="Arial" w:cs="Arial" w:eastAsia="Arial" w:hAnsi="Arial"/>
          <w:sz w:val="17"/>
          <w:szCs w:val="17"/>
          <w:color w:val="auto"/>
        </w:rPr>
      </w:pPr>
    </w:p>
    <w:p>
      <w:pPr>
        <w:ind w:left="720" w:right="40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50" w:lineRule="exact"/>
        <w:rPr>
          <w:rFonts w:ascii="Arial" w:cs="Arial" w:eastAsia="Arial" w:hAnsi="Arial"/>
          <w:sz w:val="17"/>
          <w:szCs w:val="17"/>
          <w:color w:val="auto"/>
        </w:rPr>
      </w:pPr>
    </w:p>
    <w:p>
      <w:pPr>
        <w:ind w:left="720" w:hanging="322"/>
        <w:spacing w:after="0" w:line="322" w:lineRule="auto"/>
        <w:tabs>
          <w:tab w:leader="none" w:pos="71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potential ongoing impacts of the COVID-19 pandemic and related public health measures, as well as the potential for a more permanent global shift to remote work, on our business, the business of our customers, suppliers and partners, and the economy;</w:t>
      </w:r>
    </w:p>
    <w:p>
      <w:pPr>
        <w:spacing w:after="0" w:line="161" w:lineRule="exact"/>
        <w:rPr>
          <w:rFonts w:ascii="Arial" w:cs="Arial" w:eastAsia="Arial" w:hAnsi="Arial"/>
          <w:sz w:val="16"/>
          <w:szCs w:val="16"/>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50" w:lineRule="exact"/>
        <w:rPr>
          <w:rFonts w:ascii="Arial" w:cs="Arial" w:eastAsia="Arial" w:hAnsi="Arial"/>
          <w:sz w:val="17"/>
          <w:szCs w:val="17"/>
          <w:color w:val="auto"/>
        </w:rPr>
      </w:pPr>
    </w:p>
    <w:p>
      <w:pPr>
        <w:ind w:left="720" w:right="16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work;</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around future growth;</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introduce new products and features;</w:t>
      </w:r>
    </w:p>
    <w:p>
      <w:pPr>
        <w:spacing w:after="0" w:line="250" w:lineRule="exact"/>
        <w:rPr>
          <w:rFonts w:ascii="Arial" w:cs="Arial" w:eastAsia="Arial" w:hAnsi="Arial"/>
          <w:sz w:val="17"/>
          <w:szCs w:val="17"/>
          <w:color w:val="auto"/>
        </w:rPr>
      </w:pPr>
    </w:p>
    <w:p>
      <w:pPr>
        <w:ind w:left="720" w:right="20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including as we transition to a Virtual First model with an increasingly distributed workforce;</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security breaches and unauthorized access to customer data;</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new or modified laws, policies, taxes, and regulations on our business;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sufficiency of our cash and cash equivalents to meet our liquidity needs; and</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of companies and assets.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Annual Report on Form 10-K.</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1"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90" w:lineRule="exact"/>
        <w:rPr>
          <w:sz w:val="20"/>
          <w:szCs w:val="20"/>
          <w:color w:val="auto"/>
        </w:rPr>
      </w:pPr>
    </w:p>
    <w:p>
      <w:pPr>
        <w:ind w:left="4320"/>
        <w:spacing w:after="0"/>
        <w:rPr>
          <w:sz w:val="20"/>
          <w:szCs w:val="20"/>
          <w:color w:val="auto"/>
        </w:rPr>
      </w:pPr>
      <w:r>
        <w:rPr>
          <w:rFonts w:ascii="Arial" w:cs="Arial" w:eastAsia="Arial" w:hAnsi="Arial"/>
          <w:sz w:val="21"/>
          <w:szCs w:val="21"/>
          <w:b w:val="1"/>
          <w:bCs w:val="1"/>
          <w:color w:val="auto"/>
        </w:rPr>
        <w:t>SUMMARY OF RISK FACTORS</w:t>
      </w:r>
    </w:p>
    <w:p>
      <w:pPr>
        <w:spacing w:after="0" w:line="246" w:lineRule="exact"/>
        <w:rPr>
          <w:sz w:val="20"/>
          <w:szCs w:val="20"/>
          <w:color w:val="auto"/>
        </w:rPr>
      </w:pPr>
    </w:p>
    <w:p>
      <w:pPr>
        <w:ind w:right="180" w:firstLine="393"/>
        <w:spacing w:after="0" w:line="249"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 before making an investment decision regarding our Class A common stock.</w:t>
      </w:r>
    </w:p>
    <w:p>
      <w:pPr>
        <w:spacing w:after="0" w:line="206" w:lineRule="exact"/>
        <w:rPr>
          <w:sz w:val="20"/>
          <w:szCs w:val="20"/>
          <w:color w:val="auto"/>
        </w:rPr>
      </w:pPr>
    </w:p>
    <w:p>
      <w:pPr>
        <w:ind w:left="720" w:right="360" w:hanging="322"/>
        <w:spacing w:after="0" w:line="289" w:lineRule="auto"/>
        <w:tabs>
          <w:tab w:leader="none" w:pos="7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on our ability to retain and upgrade paying users, and any decline in renewals or upgrades could adversely affect our future results of operations.</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future growth could be harmed if we fail to attract new users or convert registered users to paying users.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revenue growth rate has declined in recent periods and may continue to slow in the future.</w:t>
      </w:r>
    </w:p>
    <w:p>
      <w:pPr>
        <w:spacing w:after="0" w:line="250" w:lineRule="exact"/>
        <w:rPr>
          <w:rFonts w:ascii="Arial" w:cs="Arial" w:eastAsia="Arial" w:hAnsi="Arial"/>
          <w:sz w:val="17"/>
          <w:szCs w:val="17"/>
          <w:color w:val="auto"/>
        </w:rPr>
      </w:pPr>
    </w:p>
    <w:p>
      <w:pPr>
        <w:ind w:left="720" w:right="400" w:hanging="322"/>
        <w:spacing w:after="0" w:line="289" w:lineRule="auto"/>
        <w:tabs>
          <w:tab w:leader="none" w:pos="7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limited history of operating with a Virtual First workforce and the long-term impact on our financial results and business operations is uncertain.</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250" w:lineRule="exact"/>
        <w:rPr>
          <w:rFonts w:ascii="Arial" w:cs="Arial" w:eastAsia="Arial" w:hAnsi="Arial"/>
          <w:sz w:val="17"/>
          <w:szCs w:val="17"/>
          <w:color w:val="auto"/>
        </w:rPr>
      </w:pPr>
    </w:p>
    <w:p>
      <w:pPr>
        <w:ind w:left="720" w:right="340" w:hanging="322"/>
        <w:spacing w:after="0" w:line="289" w:lineRule="auto"/>
        <w:tabs>
          <w:tab w:leader="none" w:pos="7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could be damaged, and we could be subject to liability if there is any unauthorized access to our data or our users' content, including through privacy and data security breaches or incidents.</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could be harmed by any significant disruption of service on our platform or loss of content.</w:t>
      </w:r>
    </w:p>
    <w:p>
      <w:pPr>
        <w:spacing w:after="0" w:line="250" w:lineRule="exact"/>
        <w:rPr>
          <w:rFonts w:ascii="Arial" w:cs="Arial" w:eastAsia="Arial" w:hAnsi="Arial"/>
          <w:sz w:val="17"/>
          <w:szCs w:val="17"/>
          <w:color w:val="auto"/>
        </w:rPr>
      </w:pPr>
    </w:p>
    <w:p>
      <w:pPr>
        <w:ind w:left="720" w:right="240" w:hanging="322"/>
        <w:spacing w:after="0" w:line="289" w:lineRule="auto"/>
        <w:tabs>
          <w:tab w:leader="none" w:pos="7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full extent of the impacts of the COVID-19 pandemic on our business is currently unknown, but it may adversely affect our financial results as well as our business operations.</w:t>
      </w:r>
    </w:p>
    <w:p>
      <w:pPr>
        <w:spacing w:after="0" w:line="184" w:lineRule="exact"/>
        <w:rPr>
          <w:rFonts w:ascii="Arial" w:cs="Arial" w:eastAsia="Arial" w:hAnsi="Arial"/>
          <w:sz w:val="17"/>
          <w:szCs w:val="17"/>
          <w:color w:val="auto"/>
        </w:rPr>
      </w:pPr>
    </w:p>
    <w:p>
      <w:pPr>
        <w:ind w:left="720" w:right="100" w:hanging="322"/>
        <w:spacing w:after="0" w:line="289" w:lineRule="auto"/>
        <w:tabs>
          <w:tab w:leader="none" w:pos="7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73" w:lineRule="exact"/>
        <w:rPr>
          <w:rFonts w:ascii="Arial" w:cs="Arial" w:eastAsia="Arial" w:hAnsi="Arial"/>
          <w:sz w:val="15"/>
          <w:szCs w:val="15"/>
          <w:color w:val="auto"/>
        </w:rPr>
      </w:pPr>
    </w:p>
    <w:p>
      <w:pPr>
        <w:ind w:left="720" w:right="680" w:hanging="322"/>
        <w:spacing w:after="0" w:line="289" w:lineRule="auto"/>
        <w:tabs>
          <w:tab w:leader="none" w:pos="7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respond to rapid technological changes, extend our platform, or develop new features or products may harm our ability to compete effectively, which would adversely affect our business.</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successfully manage our growth or plan for future growth.</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20" w:right="20" w:hanging="322"/>
        <w:spacing w:after="0" w:line="289" w:lineRule="auto"/>
        <w:tabs>
          <w:tab w:leader="none" w:pos="7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we may increase expenses in the future, and we may not be able to achieve or to maintain profitability.</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lack of a significant outbound sales force may limit the potential growth of our business.</w:t>
      </w:r>
    </w:p>
    <w:p>
      <w:pPr>
        <w:spacing w:after="0" w:line="250" w:lineRule="exact"/>
        <w:rPr>
          <w:rFonts w:ascii="Arial" w:cs="Arial" w:eastAsia="Arial" w:hAnsi="Arial"/>
          <w:sz w:val="17"/>
          <w:szCs w:val="17"/>
          <w:color w:val="auto"/>
        </w:rPr>
      </w:pPr>
    </w:p>
    <w:p>
      <w:pPr>
        <w:ind w:left="720" w:hanging="322"/>
        <w:spacing w:after="0" w:line="289" w:lineRule="auto"/>
        <w:tabs>
          <w:tab w:leader="none" w:pos="716"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Dropbox, Inc. (the “Company”, “we”, or “us”) is the one place to keep life organized and keep work moving.</w:t>
      </w:r>
    </w:p>
    <w:p>
      <w:pPr>
        <w:spacing w:after="0" w:line="250" w:lineRule="exact"/>
        <w:rPr>
          <w:sz w:val="20"/>
          <w:szCs w:val="20"/>
          <w:color w:val="auto"/>
        </w:rPr>
      </w:pPr>
    </w:p>
    <w:p>
      <w:pPr>
        <w:ind w:firstLine="433"/>
        <w:spacing w:after="0" w:line="298"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the Dropbox, Inc. platform (“Dropbox”) was even more valuable than storing files.</w:t>
      </w:r>
    </w:p>
    <w:p>
      <w:pPr>
        <w:spacing w:after="0" w:line="180" w:lineRule="exact"/>
        <w:rPr>
          <w:sz w:val="20"/>
          <w:szCs w:val="20"/>
          <w:color w:val="auto"/>
        </w:rPr>
      </w:pPr>
    </w:p>
    <w:p>
      <w:pPr>
        <w:ind w:right="100" w:firstLine="433"/>
        <w:spacing w:after="0" w:line="264" w:lineRule="auto"/>
        <w:rPr>
          <w:sz w:val="20"/>
          <w:szCs w:val="20"/>
          <w:color w:val="auto"/>
        </w:rPr>
      </w:pPr>
      <w:r>
        <w:rPr>
          <w:rFonts w:ascii="Arial" w:cs="Arial" w:eastAsia="Arial" w:hAnsi="Arial"/>
          <w:sz w:val="17"/>
          <w:szCs w:val="17"/>
          <w:color w:val="auto"/>
        </w:rPr>
        <w:t>Our market opportunity has grown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205"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The popularity of our platform promotes viral growth, which has allowed us to scale rapidly and efficiently. We’ve built a thriving global business with 16.79 million paying users as of 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Sets Us Apart</w:t>
      </w:r>
    </w:p>
    <w:p>
      <w:pPr>
        <w:spacing w:after="0" w:line="125" w:lineRule="exact"/>
        <w:rPr>
          <w:sz w:val="20"/>
          <w:szCs w:val="20"/>
          <w:color w:val="auto"/>
        </w:rPr>
      </w:pPr>
    </w:p>
    <w:p>
      <w:pPr>
        <w:ind w:right="400" w:firstLine="433"/>
        <w:spacing w:after="0" w:line="268" w:lineRule="auto"/>
        <w:rPr>
          <w:sz w:val="20"/>
          <w:szCs w:val="20"/>
          <w:color w:val="auto"/>
        </w:rPr>
      </w:pPr>
      <w:r>
        <w:rPr>
          <w:rFonts w:ascii="Arial" w:cs="Arial" w:eastAsia="Arial" w:hAnsi="Arial"/>
          <w:sz w:val="17"/>
          <w:szCs w:val="17"/>
          <w:color w:val="auto"/>
        </w:rPr>
        <w:t>From our founding, we’ve focused on simplifying the lives of our users. In a world where business software can be frustrating to use, challenging to integrate, and expensive to sell, we take a different approach. As businesses around the world adapt to a distributed environment, we are at the forefront of developing the technology to support them. We provide tools to help distributed teams prioritize, get organized, and keep work moving securely—from anywhere.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Simple and intuitive design</w:t>
      </w:r>
    </w:p>
    <w:p>
      <w:pPr>
        <w:spacing w:after="0" w:line="119" w:lineRule="exact"/>
        <w:rPr>
          <w:sz w:val="20"/>
          <w:szCs w:val="20"/>
          <w:color w:val="auto"/>
        </w:rPr>
      </w:pPr>
    </w:p>
    <w:p>
      <w:pPr>
        <w:ind w:right="80" w:firstLine="433"/>
        <w:spacing w:after="0" w:line="289" w:lineRule="auto"/>
        <w:rPr>
          <w:sz w:val="20"/>
          <w:szCs w:val="20"/>
          <w:color w:val="auto"/>
        </w:rPr>
      </w:pPr>
      <w:r>
        <w:rPr>
          <w:rFonts w:ascii="Arial" w:cs="Arial" w:eastAsia="Arial" w:hAnsi="Arial"/>
          <w:sz w:val="17"/>
          <w:szCs w:val="17"/>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Open ecosystem</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Because people use a wide variety of devices, tools and platforms, Dropbox works across the devices, operating systems, and apps users want—from Android to iOS, Windows, Mac, desktop, and mobile. We also integrate seamlessly with other products, integrating with partners including Microsoft, Zoom, Slack, BetterCloud, Atlassian, and Google.</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Viral, bottom-up adoption</w:t>
      </w:r>
    </w:p>
    <w:p>
      <w:pPr>
        <w:spacing w:after="0" w:line="119"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Every year, millions of users sign up for Dropbox at work. Bottom-up adoption within organizations has been critical to our strategy and success as users increasingly choose their own tools at work. We generate over 90% of our revenue from self-serve channels—users who purchase a subscription through our app or website.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Performance and security</w:t>
      </w:r>
    </w:p>
    <w:p>
      <w:pPr>
        <w:spacing w:after="0" w:line="119" w:lineRule="exact"/>
        <w:rPr>
          <w:sz w:val="20"/>
          <w:szCs w:val="20"/>
          <w:color w:val="auto"/>
        </w:rPr>
      </w:pPr>
    </w:p>
    <w:p>
      <w:pPr>
        <w:jc w:val="both"/>
        <w:ind w:right="260" w:firstLine="433"/>
        <w:spacing w:after="0" w:line="268" w:lineRule="auto"/>
        <w:rPr>
          <w:sz w:val="20"/>
          <w:szCs w:val="20"/>
          <w:color w:val="auto"/>
        </w:rPr>
      </w:pPr>
      <w:r>
        <w:rPr>
          <w:rFonts w:ascii="Arial" w:cs="Arial" w:eastAsia="Arial" w:hAnsi="Arial"/>
          <w:sz w:val="17"/>
          <w:szCs w:val="17"/>
          <w:color w:val="auto"/>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125"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Dropbox allows individuals, teams, and organizations to collaborate more effectively and focus on the work that matters. Anyone can sign up for free through our website or app, and upgrade to a paid subscription plan for premium features. Our customers include individuals, families, teams, and organizations of all sizes, from freelancers and small businesses to Fortune 100 companies. They work across a wide range of industries, including professional services, technology, media, education,</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industrial, consumer and retail, and financial services. Within companies, our platform is used by all types of teams and functions, including sales, marketing, product, design, engineering, finance, legal, and human resources.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elements of our platform</w:t>
      </w:r>
    </w:p>
    <w:p>
      <w:pPr>
        <w:spacing w:after="0" w:line="132" w:lineRule="exact"/>
        <w:rPr>
          <w:sz w:val="20"/>
          <w:szCs w:val="20"/>
          <w:color w:val="auto"/>
        </w:rPr>
      </w:pPr>
    </w:p>
    <w:p>
      <w:pPr>
        <w:ind w:left="640" w:hanging="320"/>
        <w:spacing w:after="0" w:line="26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 added hundreds</w:t>
      </w:r>
      <w:r>
        <w:rPr>
          <w:rFonts w:ascii="Arial" w:cs="Arial" w:eastAsia="Arial" w:hAnsi="Arial"/>
          <w:sz w:val="17"/>
          <w:szCs w:val="17"/>
          <w:i w:val="1"/>
          <w:iCs w:val="1"/>
          <w:color w:val="auto"/>
        </w:rPr>
        <w:t xml:space="preserve"> </w:t>
      </w:r>
      <w:r>
        <w:rPr>
          <w:rFonts w:ascii="Arial" w:cs="Arial" w:eastAsia="Arial" w:hAnsi="Arial"/>
          <w:sz w:val="17"/>
          <w:szCs w:val="17"/>
          <w:color w:val="auto"/>
        </w:rPr>
        <w:t>of billions of pieces of content to Dropbox, totaling over multiple exabytes of data. When users adopt the Dropbox platform, they gain access to a digital workspace that supports the full content lifecycle—they can create and organize their content, access it from anywhere, share it with internal and external collaborators, and review feedback and history.</w:t>
      </w:r>
    </w:p>
    <w:p>
      <w:pPr>
        <w:spacing w:after="0" w:line="71" w:lineRule="exact"/>
        <w:rPr>
          <w:rFonts w:ascii="Arial" w:cs="Arial" w:eastAsia="Arial" w:hAnsi="Arial"/>
          <w:sz w:val="17"/>
          <w:szCs w:val="17"/>
          <w:color w:val="auto"/>
        </w:rPr>
      </w:pPr>
    </w:p>
    <w:p>
      <w:pPr>
        <w:ind w:left="640" w:right="160" w:hanging="320"/>
        <w:spacing w:after="0" w:line="273"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Global sharing network. </w:t>
      </w:r>
      <w:r>
        <w:rPr>
          <w:rFonts w:ascii="Arial" w:cs="Arial" w:eastAsia="Arial" w:hAnsi="Arial"/>
          <w:sz w:val="17"/>
          <w:szCs w:val="17"/>
          <w:color w:val="auto"/>
        </w:rPr>
        <w:t>We’ve built one of the largest collaboration platforms in the world. We cater to the needs of dynamic, dispersed teams.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overwhelming majority of our customers use Dropbox to share and collaborate. As we continue to grow, more users benefit from frictionless sharing, and powerful network effects increase the utility and stickiness of our platform.</w:t>
      </w:r>
    </w:p>
    <w:p>
      <w:pPr>
        <w:spacing w:after="0" w:line="67" w:lineRule="exact"/>
        <w:rPr>
          <w:rFonts w:ascii="Arial" w:cs="Arial" w:eastAsia="Arial" w:hAnsi="Arial"/>
          <w:sz w:val="17"/>
          <w:szCs w:val="17"/>
          <w:color w:val="auto"/>
        </w:rPr>
      </w:pPr>
    </w:p>
    <w:p>
      <w:pPr>
        <w:ind w:left="640" w:right="20" w:hanging="320"/>
        <w:spacing w:after="0" w:line="264"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Product experiences and integrations. </w:t>
      </w:r>
      <w:r>
        <w:rPr>
          <w:rFonts w:ascii="Arial" w:cs="Arial" w:eastAsia="Arial" w:hAnsi="Arial"/>
          <w:sz w:val="17"/>
          <w:szCs w:val="17"/>
          <w:color w:val="auto"/>
        </w:rPr>
        <w:t>The insights we glean from our community of users and our deep integrations with best-of-breed companies lead</w:t>
      </w:r>
      <w:r>
        <w:rPr>
          <w:rFonts w:ascii="Arial" w:cs="Arial" w:eastAsia="Arial" w:hAnsi="Arial"/>
          <w:sz w:val="17"/>
          <w:szCs w:val="17"/>
          <w:i w:val="1"/>
          <w:iCs w:val="1"/>
          <w:color w:val="auto"/>
        </w:rPr>
        <w:t xml:space="preserve"> </w:t>
      </w:r>
      <w:r>
        <w:rPr>
          <w:rFonts w:ascii="Arial" w:cs="Arial" w:eastAsia="Arial" w:hAnsi="Arial"/>
          <w:sz w:val="17"/>
          <w:szCs w:val="17"/>
          <w:color w:val="auto"/>
        </w:rPr>
        <w:t>us to develop or acquire new product experiences and extend the capabilities of our platform. Products like Dropbox Passwords, Vault, Computer Backup, HelloSign, DocSend, and Dropbox Capture and deep integrations with companies like Microsoft, Zoom, Atlassian, Slack, and BetterCloud help us provide our users with the functionality they need to do their best work. Machine learning further improves the user experience by enabling more intelligent search, better organization, and utility of information. This ongoing innovation broadens the value of our platform and deepens user engagement.</w:t>
      </w:r>
    </w:p>
    <w:p>
      <w:pPr>
        <w:spacing w:after="0" w:line="205"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Capabilities</w:t>
      </w:r>
    </w:p>
    <w:p>
      <w:pPr>
        <w:spacing w:after="0" w:line="125"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Dropbox is a single organized place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Create</w:t>
      </w:r>
    </w:p>
    <w:p>
      <w:pPr>
        <w:spacing w:after="0" w:line="119" w:lineRule="exact"/>
        <w:rPr>
          <w:sz w:val="20"/>
          <w:szCs w:val="20"/>
          <w:color w:val="auto"/>
        </w:rPr>
      </w:pPr>
    </w:p>
    <w:p>
      <w:pPr>
        <w:jc w:val="both"/>
        <w:ind w:right="260" w:firstLine="433"/>
        <w:spacing w:after="0" w:line="273" w:lineRule="auto"/>
        <w:rPr>
          <w:sz w:val="20"/>
          <w:szCs w:val="20"/>
          <w:color w:val="auto"/>
        </w:rPr>
      </w:pPr>
      <w:r>
        <w:rPr>
          <w:rFonts w:ascii="Arial" w:cs="Arial" w:eastAsia="Arial" w:hAnsi="Arial"/>
          <w:sz w:val="17"/>
          <w:szCs w:val="17"/>
          <w:i w:val="1"/>
          <w:iCs w:val="1"/>
          <w:color w:val="auto"/>
        </w:rPr>
        <w:t>Paper</w:t>
      </w:r>
      <w:r>
        <w:rPr>
          <w:rFonts w:ascii="Arial" w:cs="Arial" w:eastAsia="Arial" w:hAnsi="Arial"/>
          <w:sz w:val="17"/>
          <w:szCs w:val="17"/>
          <w:color w:val="auto"/>
        </w:rPr>
        <w:t>. With Dropbox Paper, users can co-author content, tag others, create timelines, assign tasks with due dates, embed and comment on files, tables,</w:t>
      </w:r>
      <w:r>
        <w:rPr>
          <w:rFonts w:ascii="Arial" w:cs="Arial" w:eastAsia="Arial" w:hAnsi="Arial"/>
          <w:sz w:val="17"/>
          <w:szCs w:val="17"/>
          <w:i w:val="1"/>
          <w:iCs w:val="1"/>
          <w:color w:val="auto"/>
        </w:rPr>
        <w:t xml:space="preserve"> </w:t>
      </w:r>
      <w:r>
        <w:rPr>
          <w:rFonts w:ascii="Arial" w:cs="Arial" w:eastAsia="Arial" w:hAnsi="Arial"/>
          <w:sz w:val="17"/>
          <w:szCs w:val="17"/>
          <w:color w:val="auto"/>
        </w:rPr>
        <w:t>checklists, code snippets, and rich media—all in real-time. We designed Paper to be simple and beautiful so users can focus on the most important ideas and tasks at hand.</w:t>
      </w:r>
    </w:p>
    <w:p>
      <w:pPr>
        <w:spacing w:after="0" w:line="198"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i w:val="1"/>
          <w:iCs w:val="1"/>
          <w:color w:val="auto"/>
        </w:rPr>
        <w:t>Doc scanner</w:t>
      </w:r>
      <w:r>
        <w:rPr>
          <w:rFonts w:ascii="Arial" w:cs="Arial" w:eastAsia="Arial" w:hAnsi="Arial"/>
          <w:sz w:val="17"/>
          <w:szCs w:val="17"/>
          <w:color w:val="auto"/>
        </w:rPr>
        <w:t>. The doc scanner in our mobile app lets users create content in Dropbox from hard copies. This includes transforming everything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Access and organize</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i w:val="1"/>
          <w:iCs w:val="1"/>
          <w:color w:val="auto"/>
        </w:rPr>
        <w:t>Search</w:t>
      </w:r>
      <w:r>
        <w:rPr>
          <w:rFonts w:ascii="Arial" w:cs="Arial" w:eastAsia="Arial" w:hAnsi="Arial"/>
          <w:sz w:val="17"/>
          <w:szCs w:val="17"/>
          <w:color w:val="auto"/>
        </w:rPr>
        <w:t>. Dropbox has powerful search capabilities that allow users to quickly find the files and folders they need. Our autocomplete technology surfaces</w:t>
      </w:r>
      <w:r>
        <w:rPr>
          <w:rFonts w:ascii="Arial" w:cs="Arial" w:eastAsia="Arial" w:hAnsi="Arial"/>
          <w:sz w:val="17"/>
          <w:szCs w:val="17"/>
          <w:i w:val="1"/>
          <w:iCs w:val="1"/>
          <w:color w:val="auto"/>
        </w:rPr>
        <w:t xml:space="preserve"> </w:t>
      </w:r>
      <w:r>
        <w:rPr>
          <w:rFonts w:ascii="Arial" w:cs="Arial" w:eastAsia="Arial" w:hAnsi="Arial"/>
          <w:sz w:val="17"/>
          <w:szCs w:val="17"/>
          <w:color w:val="auto"/>
        </w:rPr>
        <w:t>and prioritizes content based on users’ previous activity. For Dropbox Plus, Professional, and Business users, full text search allows users to scan the entire content of their files.</w:t>
      </w:r>
    </w:p>
    <w:p>
      <w:pPr>
        <w:spacing w:after="0" w:line="198" w:lineRule="exact"/>
        <w:rPr>
          <w:sz w:val="20"/>
          <w:szCs w:val="20"/>
          <w:color w:val="auto"/>
        </w:rPr>
      </w:pPr>
    </w:p>
    <w:p>
      <w:pPr>
        <w:jc w:val="both"/>
        <w:ind w:right="60" w:firstLine="433"/>
        <w:spacing w:after="0" w:line="273" w:lineRule="auto"/>
        <w:rPr>
          <w:sz w:val="20"/>
          <w:szCs w:val="20"/>
          <w:color w:val="auto"/>
        </w:rPr>
      </w:pPr>
      <w:r>
        <w:rPr>
          <w:rFonts w:ascii="Arial" w:cs="Arial" w:eastAsia="Arial" w:hAnsi="Arial"/>
          <w:sz w:val="17"/>
          <w:szCs w:val="17"/>
          <w:i w:val="1"/>
          <w:iCs w:val="1"/>
          <w:color w:val="auto"/>
        </w:rPr>
        <w:t>Rich previews</w:t>
      </w:r>
      <w:r>
        <w:rPr>
          <w:rFonts w:ascii="Arial" w:cs="Arial" w:eastAsia="Arial" w:hAnsi="Arial"/>
          <w:sz w:val="17"/>
          <w:szCs w:val="17"/>
          <w:color w:val="auto"/>
        </w:rPr>
        <w:t>. Rich previews allow users to easily interact with files across any device without having to open different applications. Users can comment</w:t>
      </w:r>
      <w:r>
        <w:rPr>
          <w:rFonts w:ascii="Arial" w:cs="Arial" w:eastAsia="Arial" w:hAnsi="Arial"/>
          <w:sz w:val="17"/>
          <w:szCs w:val="17"/>
          <w:i w:val="1"/>
          <w:iCs w:val="1"/>
          <w:color w:val="auto"/>
        </w:rPr>
        <w:t xml:space="preserve"> </w:t>
      </w:r>
      <w:r>
        <w:rPr>
          <w:rFonts w:ascii="Arial" w:cs="Arial" w:eastAsia="Arial" w:hAnsi="Arial"/>
          <w:sz w:val="17"/>
          <w:szCs w:val="17"/>
          <w:color w:val="auto"/>
        </w:rPr>
        <w:t>on, annotate, review, and present files, and see who viewed and edited them. We support previews of over 300 file types, and Dropbox users currently preview files tens of millions of times every day.</w:t>
      </w:r>
    </w:p>
    <w:p>
      <w:pPr>
        <w:spacing w:after="0" w:line="198"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i w:val="1"/>
          <w:iCs w:val="1"/>
          <w:color w:val="auto"/>
        </w:rPr>
        <w:t>Smart Sync</w:t>
      </w:r>
      <w:r>
        <w:rPr>
          <w:rFonts w:ascii="Arial" w:cs="Arial" w:eastAsia="Arial" w:hAnsi="Arial"/>
          <w:sz w:val="17"/>
          <w:szCs w:val="17"/>
          <w:color w:val="auto"/>
        </w:rPr>
        <w:t>. With Smart Sync, users can access all of their content natively on their computers without taking up storage space on their local hard drives.</w:t>
      </w:r>
      <w:r>
        <w:rPr>
          <w:rFonts w:ascii="Arial" w:cs="Arial" w:eastAsia="Arial" w:hAnsi="Arial"/>
          <w:sz w:val="17"/>
          <w:szCs w:val="17"/>
          <w:i w:val="1"/>
          <w:iCs w:val="1"/>
          <w:color w:val="auto"/>
        </w:rPr>
        <w:t xml:space="preserve"> </w:t>
      </w:r>
      <w:r>
        <w:rPr>
          <w:rFonts w:ascii="Arial" w:cs="Arial" w:eastAsia="Arial" w:hAnsi="Arial"/>
          <w:sz w:val="17"/>
          <w:szCs w:val="17"/>
          <w:color w:val="auto"/>
        </w:rPr>
        <w:t>We intelligently sync files to a user’s computer as they need them, and users can control which files or folders are always synced locally. With Smart Sync, files that are only stored in the cloud appear in the local file system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and can be opened directly from Windows File Explorer or Mac Finder, instead of having to navigate to our web interface. Smart Sync is available to Dropbox Plus, Professional, and Business users.</w:t>
      </w:r>
    </w:p>
    <w:p>
      <w:pPr>
        <w:spacing w:after="0" w:line="185" w:lineRule="exact"/>
        <w:rPr>
          <w:sz w:val="20"/>
          <w:szCs w:val="20"/>
          <w:color w:val="auto"/>
        </w:rPr>
      </w:pPr>
    </w:p>
    <w:p>
      <w:pPr>
        <w:ind w:right="80" w:firstLine="433"/>
        <w:spacing w:after="0" w:line="322" w:lineRule="auto"/>
        <w:rPr>
          <w:sz w:val="20"/>
          <w:szCs w:val="20"/>
          <w:color w:val="auto"/>
        </w:rPr>
      </w:pPr>
      <w:r>
        <w:rPr>
          <w:rFonts w:ascii="Arial" w:cs="Arial" w:eastAsia="Arial" w:hAnsi="Arial"/>
          <w:sz w:val="16"/>
          <w:szCs w:val="16"/>
          <w:i w:val="1"/>
          <w:iCs w:val="1"/>
          <w:color w:val="auto"/>
        </w:rPr>
        <w:t>Version history</w:t>
      </w:r>
      <w:r>
        <w:rPr>
          <w:rFonts w:ascii="Arial" w:cs="Arial" w:eastAsia="Arial" w:hAnsi="Arial"/>
          <w:sz w:val="16"/>
          <w:szCs w:val="16"/>
          <w:color w:val="auto"/>
        </w:rPr>
        <w:t>. As paying users work on files, our servers keep snapshots of all their changes. Users can see a file’s complete version history so they can</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and retrieve older versions if needed. Version histories are kept between 30 to 180 days for paying users, depending on subscription plan.</w:t>
      </w:r>
    </w:p>
    <w:p>
      <w:pPr>
        <w:spacing w:after="0" w:line="162"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i w:val="1"/>
          <w:iCs w:val="1"/>
          <w:color w:val="auto"/>
        </w:rPr>
        <w:t>Third-party ecosystem</w:t>
      </w:r>
      <w:r>
        <w:rPr>
          <w:rFonts w:ascii="Arial" w:cs="Arial" w:eastAsia="Arial" w:hAnsi="Arial"/>
          <w:sz w:val="17"/>
          <w:szCs w:val="17"/>
          <w:color w:val="auto"/>
        </w:rPr>
        <w:t>. Our open and thriving ecosystem fosters deeper relationships with our users and developers. Developers can build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2021, Dropbox was receiving over 75 billion API calls per month and just under 1,000,000 developers had registered and built applications on our platform. In addition, more than 80% of Dropbox Business teams have linked to one or more third-party applications.</w:t>
      </w:r>
    </w:p>
    <w:p>
      <w:pPr>
        <w:spacing w:after="0" w:line="205" w:lineRule="exact"/>
        <w:rPr>
          <w:sz w:val="20"/>
          <w:szCs w:val="20"/>
          <w:color w:val="auto"/>
        </w:rPr>
      </w:pPr>
    </w:p>
    <w:p>
      <w:pPr>
        <w:ind w:right="260" w:firstLine="433"/>
        <w:spacing w:after="0" w:line="360" w:lineRule="auto"/>
        <w:rPr>
          <w:sz w:val="20"/>
          <w:szCs w:val="20"/>
          <w:color w:val="auto"/>
        </w:rPr>
      </w:pPr>
      <w:r>
        <w:rPr>
          <w:rFonts w:ascii="Arial" w:cs="Arial" w:eastAsia="Arial" w:hAnsi="Arial"/>
          <w:sz w:val="15"/>
          <w:szCs w:val="15"/>
          <w:i w:val="1"/>
          <w:iCs w:val="1"/>
          <w:color w:val="auto"/>
        </w:rPr>
        <w:t xml:space="preserve">Rewind. </w:t>
      </w:r>
      <w:r>
        <w:rPr>
          <w:rFonts w:ascii="Arial" w:cs="Arial" w:eastAsia="Arial" w:hAnsi="Arial"/>
          <w:sz w:val="15"/>
          <w:szCs w:val="15"/>
          <w:color w:val="auto"/>
        </w:rPr>
        <w:t>Dropbox Rewind is a tool that lets a user take a folder, or their entire account, back to a specific point in time. The tool uses version history to</w:t>
      </w:r>
      <w:r>
        <w:rPr>
          <w:rFonts w:ascii="Arial" w:cs="Arial" w:eastAsia="Arial" w:hAnsi="Arial"/>
          <w:sz w:val="15"/>
          <w:szCs w:val="15"/>
          <w:i w:val="1"/>
          <w:iCs w:val="1"/>
          <w:color w:val="auto"/>
        </w:rPr>
        <w:t xml:space="preserve"> </w:t>
      </w:r>
      <w:r>
        <w:rPr>
          <w:rFonts w:ascii="Arial" w:cs="Arial" w:eastAsia="Arial" w:hAnsi="Arial"/>
          <w:sz w:val="15"/>
          <w:szCs w:val="15"/>
          <w:color w:val="auto"/>
        </w:rPr>
        <w:t>undo changes made to files and folders and can recover any file edits or deletions made within the last 30 to 180 days depending on the users’ subscription.</w:t>
      </w:r>
    </w:p>
    <w:p>
      <w:pPr>
        <w:spacing w:after="0" w:line="138"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i w:val="1"/>
          <w:iCs w:val="1"/>
          <w:color w:val="auto"/>
        </w:rPr>
        <w:t xml:space="preserve">Computer Backup. </w:t>
      </w:r>
      <w:r>
        <w:rPr>
          <w:rFonts w:ascii="Arial" w:cs="Arial" w:eastAsia="Arial" w:hAnsi="Arial"/>
          <w:sz w:val="17"/>
          <w:szCs w:val="17"/>
          <w:color w:val="auto"/>
        </w:rPr>
        <w:t>Computer backup automatically syncs folders on a user's computer to the cloud. When turned on, files on the user's PC or Mac are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backed up on the cloud. Any changes made in synced folders are automatically updated in the Dropbox account and on the hard drive. Computer backup allows users to get up-to-date versions of files stored on the user's PC or Mac from anywhere and from any device instantly. Content is secure in the cloud, no matter what happens to the user's computer.</w:t>
      </w:r>
    </w:p>
    <w:p>
      <w:pPr>
        <w:spacing w:after="0" w:line="202" w:lineRule="exact"/>
        <w:rPr>
          <w:sz w:val="20"/>
          <w:szCs w:val="20"/>
          <w:color w:val="auto"/>
        </w:rPr>
      </w:pPr>
    </w:p>
    <w:p>
      <w:pPr>
        <w:ind w:right="20" w:firstLine="433"/>
        <w:spacing w:after="0" w:line="322" w:lineRule="auto"/>
        <w:rPr>
          <w:sz w:val="20"/>
          <w:szCs w:val="20"/>
          <w:color w:val="auto"/>
        </w:rPr>
      </w:pPr>
      <w:r>
        <w:rPr>
          <w:rFonts w:ascii="Arial" w:cs="Arial" w:eastAsia="Arial" w:hAnsi="Arial"/>
          <w:sz w:val="16"/>
          <w:szCs w:val="16"/>
          <w:i w:val="1"/>
          <w:iCs w:val="1"/>
          <w:color w:val="auto"/>
        </w:rPr>
        <w:t xml:space="preserve">Passwords. </w:t>
      </w:r>
      <w:r>
        <w:rPr>
          <w:rFonts w:ascii="Arial" w:cs="Arial" w:eastAsia="Arial" w:hAnsi="Arial"/>
          <w:sz w:val="16"/>
          <w:szCs w:val="16"/>
          <w:color w:val="auto"/>
        </w:rPr>
        <w:t>Dropbox Passwords allows users to sign-in to websites and apps by creating and storing unique usernames and passwords across devices.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app can autofill usernames and passwords for instant access anywhere within applications available for Windows, Mac, iOS, and Android.</w:t>
      </w:r>
    </w:p>
    <w:p>
      <w:pPr>
        <w:spacing w:after="0" w:line="162" w:lineRule="exact"/>
        <w:rPr>
          <w:sz w:val="20"/>
          <w:szCs w:val="20"/>
          <w:color w:val="auto"/>
        </w:rPr>
      </w:pPr>
    </w:p>
    <w:p>
      <w:pPr>
        <w:ind w:right="160" w:firstLine="433"/>
        <w:spacing w:after="0" w:line="289" w:lineRule="auto"/>
        <w:rPr>
          <w:sz w:val="20"/>
          <w:szCs w:val="20"/>
          <w:color w:val="auto"/>
        </w:rPr>
      </w:pPr>
      <w:r>
        <w:rPr>
          <w:rFonts w:ascii="Arial" w:cs="Arial" w:eastAsia="Arial" w:hAnsi="Arial"/>
          <w:sz w:val="17"/>
          <w:szCs w:val="17"/>
          <w:i w:val="1"/>
          <w:iCs w:val="1"/>
          <w:color w:val="auto"/>
        </w:rPr>
        <w:t xml:space="preserve">Vault. </w:t>
      </w:r>
      <w:r>
        <w:rPr>
          <w:rFonts w:ascii="Arial" w:cs="Arial" w:eastAsia="Arial" w:hAnsi="Arial"/>
          <w:sz w:val="17"/>
          <w:szCs w:val="17"/>
          <w:color w:val="auto"/>
        </w:rPr>
        <w:t>Dropbox Vault helps secure and organize sensitive information in the cloud. Vault is a PIN-protected folder in Dropbox that a user can access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and on any device. Sensitive data can be added and viewed from any device: Windows, Mac, iOS, and Android.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Share</w:t>
      </w:r>
    </w:p>
    <w:p>
      <w:pPr>
        <w:spacing w:after="0" w:line="119" w:lineRule="exact"/>
        <w:rPr>
          <w:sz w:val="20"/>
          <w:szCs w:val="20"/>
          <w:color w:val="auto"/>
        </w:rPr>
      </w:pPr>
    </w:p>
    <w:p>
      <w:pPr>
        <w:ind w:right="360" w:firstLine="433"/>
        <w:spacing w:after="0" w:line="273" w:lineRule="auto"/>
        <w:rPr>
          <w:sz w:val="20"/>
          <w:szCs w:val="20"/>
          <w:color w:val="auto"/>
        </w:rPr>
      </w:pPr>
      <w:r>
        <w:rPr>
          <w:rFonts w:ascii="Arial" w:cs="Arial" w:eastAsia="Arial" w:hAnsi="Arial"/>
          <w:sz w:val="17"/>
          <w:szCs w:val="17"/>
          <w:i w:val="1"/>
          <w:iCs w:val="1"/>
          <w:color w:val="auto"/>
        </w:rPr>
        <w:t>Folders</w:t>
      </w:r>
      <w:r>
        <w:rPr>
          <w:rFonts w:ascii="Arial" w:cs="Arial" w:eastAsia="Arial" w:hAnsi="Arial"/>
          <w:sz w:val="17"/>
          <w:szCs w:val="17"/>
          <w:color w:val="auto"/>
        </w:rPr>
        <w:t>. There are three types of folders in Dropbox: private, shared, and team folders. A private folder allows an individual to sync files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98"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i w:val="1"/>
          <w:iCs w:val="1"/>
          <w:color w:val="auto"/>
        </w:rPr>
        <w:t>Shared links</w:t>
      </w:r>
      <w:r>
        <w:rPr>
          <w:rFonts w:ascii="Arial" w:cs="Arial" w:eastAsia="Arial" w:hAnsi="Arial"/>
          <w:sz w:val="17"/>
          <w:szCs w:val="17"/>
          <w:color w:val="auto"/>
        </w:rPr>
        <w:t>. Users can share files and folders with anyone, including non-Dropbox users, by creating a Dropbox link. Once created, the link can be sent</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202" w:lineRule="exact"/>
        <w:rPr>
          <w:sz w:val="20"/>
          <w:szCs w:val="20"/>
          <w:color w:val="auto"/>
        </w:rPr>
      </w:pPr>
    </w:p>
    <w:p>
      <w:pPr>
        <w:jc w:val="both"/>
        <w:ind w:firstLine="433"/>
        <w:spacing w:after="0" w:line="326" w:lineRule="auto"/>
        <w:rPr>
          <w:sz w:val="20"/>
          <w:szCs w:val="20"/>
          <w:color w:val="auto"/>
        </w:rPr>
      </w:pPr>
      <w:r>
        <w:rPr>
          <w:rFonts w:ascii="Arial" w:cs="Arial" w:eastAsia="Arial" w:hAnsi="Arial"/>
          <w:sz w:val="15"/>
          <w:szCs w:val="15"/>
          <w:i w:val="1"/>
          <w:iCs w:val="1"/>
          <w:color w:val="auto"/>
        </w:rPr>
        <w:t xml:space="preserve">Transfer. </w:t>
      </w:r>
      <w:r>
        <w:rPr>
          <w:rFonts w:ascii="Arial" w:cs="Arial" w:eastAsia="Arial" w:hAnsi="Arial"/>
          <w:sz w:val="15"/>
          <w:szCs w:val="15"/>
          <w:color w:val="auto"/>
        </w:rPr>
        <w:t>Dropbox Transfer gives users a quick and secure way to send large files or collections of files to anyone. With Transfer, users can send up to 100</w:t>
      </w:r>
      <w:r>
        <w:rPr>
          <w:rFonts w:ascii="Arial" w:cs="Arial" w:eastAsia="Arial" w:hAnsi="Arial"/>
          <w:sz w:val="15"/>
          <w:szCs w:val="15"/>
          <w:i w:val="1"/>
          <w:iCs w:val="1"/>
          <w:color w:val="auto"/>
        </w:rPr>
        <w:t xml:space="preserve"> </w:t>
      </w:r>
      <w:r>
        <w:rPr>
          <w:rFonts w:ascii="Arial" w:cs="Arial" w:eastAsia="Arial" w:hAnsi="Arial"/>
          <w:sz w:val="15"/>
          <w:szCs w:val="15"/>
          <w:color w:val="auto"/>
        </w:rPr>
        <w:t>GB of files in just a few clicks.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spacing w:after="0" w:line="163" w:lineRule="exact"/>
        <w:rPr>
          <w:sz w:val="20"/>
          <w:szCs w:val="20"/>
          <w:color w:val="auto"/>
        </w:rPr>
      </w:pPr>
    </w:p>
    <w:p>
      <w:pPr>
        <w:jc w:val="both"/>
        <w:ind w:right="20" w:firstLine="433"/>
        <w:spacing w:after="0" w:line="273" w:lineRule="auto"/>
        <w:rPr>
          <w:sz w:val="20"/>
          <w:szCs w:val="20"/>
          <w:color w:val="auto"/>
        </w:rPr>
      </w:pPr>
      <w:r>
        <w:rPr>
          <w:rFonts w:ascii="Arial" w:cs="Arial" w:eastAsia="Arial" w:hAnsi="Arial"/>
          <w:sz w:val="17"/>
          <w:szCs w:val="17"/>
          <w:i w:val="1"/>
          <w:iCs w:val="1"/>
          <w:color w:val="auto"/>
        </w:rPr>
        <w:t>File requests</w:t>
      </w:r>
      <w:r>
        <w:rPr>
          <w:rFonts w:ascii="Arial" w:cs="Arial" w:eastAsia="Arial" w:hAnsi="Arial"/>
          <w:sz w:val="17"/>
          <w:szCs w:val="17"/>
          <w:color w:val="auto"/>
        </w:rPr>
        <w:t>. With file requests, users can invite anyone to submit files into a specified Dropbox folder through a simple link—regardless of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198"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i w:val="1"/>
          <w:iCs w:val="1"/>
          <w:color w:val="auto"/>
        </w:rPr>
        <w:t xml:space="preserve">Watermarking. </w:t>
      </w:r>
      <w:r>
        <w:rPr>
          <w:rFonts w:ascii="Arial" w:cs="Arial" w:eastAsia="Arial" w:hAnsi="Arial"/>
          <w:sz w:val="17"/>
          <w:szCs w:val="17"/>
          <w:color w:val="auto"/>
        </w:rPr>
        <w:t>Our Dropbox watermarking feature allows users to protect and share digital files quickly and easily. The watermark feature can be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protect graphic designs, confidential contracts, and personal photographs. Users can create their own custom watermark and watermark any file without leaving Dropbox.</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right="220" w:firstLine="472"/>
        <w:spacing w:after="0" w:line="273" w:lineRule="auto"/>
        <w:rPr>
          <w:sz w:val="20"/>
          <w:szCs w:val="20"/>
          <w:color w:val="auto"/>
        </w:rPr>
      </w:pPr>
      <w:r>
        <w:rPr>
          <w:rFonts w:ascii="Arial" w:cs="Arial" w:eastAsia="Arial" w:hAnsi="Arial"/>
          <w:sz w:val="17"/>
          <w:szCs w:val="17"/>
          <w:i w:val="1"/>
          <w:iCs w:val="1"/>
          <w:color w:val="auto"/>
        </w:rPr>
        <w:t xml:space="preserve">DocSend. </w:t>
      </w:r>
      <w:r>
        <w:rPr>
          <w:rFonts w:ascii="Arial" w:cs="Arial" w:eastAsia="Arial" w:hAnsi="Arial"/>
          <w:sz w:val="17"/>
          <w:szCs w:val="17"/>
          <w:color w:val="auto"/>
        </w:rPr>
        <w:t>DocSend is a secure document sharing and analytics platform that gives customers visibility into what happens to their documents after they</w:t>
      </w:r>
      <w:r>
        <w:rPr>
          <w:rFonts w:ascii="Arial" w:cs="Arial" w:eastAsia="Arial" w:hAnsi="Arial"/>
          <w:sz w:val="17"/>
          <w:szCs w:val="17"/>
          <w:i w:val="1"/>
          <w:iCs w:val="1"/>
          <w:color w:val="auto"/>
        </w:rPr>
        <w:t xml:space="preserve"> </w:t>
      </w:r>
      <w:r>
        <w:rPr>
          <w:rFonts w:ascii="Arial" w:cs="Arial" w:eastAsia="Arial" w:hAnsi="Arial"/>
          <w:sz w:val="17"/>
          <w:szCs w:val="17"/>
          <w:color w:val="auto"/>
        </w:rPr>
        <w:t>send them. DocSend technology enables customers to track who opens their documents and how much time they spend on each page, protect documents with security features like email verification and viewer whitelisting, and share multiple documents with a single link.</w:t>
      </w:r>
    </w:p>
    <w:p>
      <w:pPr>
        <w:spacing w:after="0" w:line="198" w:lineRule="exact"/>
        <w:rPr>
          <w:sz w:val="20"/>
          <w:szCs w:val="20"/>
          <w:color w:val="auto"/>
        </w:rPr>
      </w:pPr>
    </w:p>
    <w:p>
      <w:pPr>
        <w:ind w:right="40" w:firstLine="472"/>
        <w:spacing w:after="0" w:line="314" w:lineRule="auto"/>
        <w:rPr>
          <w:sz w:val="20"/>
          <w:szCs w:val="20"/>
          <w:color w:val="auto"/>
        </w:rPr>
      </w:pPr>
      <w:r>
        <w:rPr>
          <w:rFonts w:ascii="Arial" w:cs="Arial" w:eastAsia="Arial" w:hAnsi="Arial"/>
          <w:sz w:val="15"/>
          <w:szCs w:val="15"/>
          <w:i w:val="1"/>
          <w:iCs w:val="1"/>
          <w:color w:val="auto"/>
        </w:rPr>
        <w:t xml:space="preserve">Shop. </w:t>
      </w:r>
      <w:r>
        <w:rPr>
          <w:rFonts w:ascii="Arial" w:cs="Arial" w:eastAsia="Arial" w:hAnsi="Arial"/>
          <w:sz w:val="15"/>
          <w:szCs w:val="15"/>
          <w:color w:val="auto"/>
        </w:rPr>
        <w:t>Dropbox Shop provides users with a valuable and flexible digital sales experience for creators by streamlining the process of sharing and</w:t>
      </w:r>
      <w:r>
        <w:rPr>
          <w:rFonts w:ascii="Arial" w:cs="Arial" w:eastAsia="Arial" w:hAnsi="Arial"/>
          <w:sz w:val="15"/>
          <w:szCs w:val="15"/>
          <w:i w:val="1"/>
          <w:iCs w:val="1"/>
          <w:color w:val="auto"/>
        </w:rPr>
        <w:t xml:space="preserve"> </w:t>
      </w:r>
      <w:r>
        <w:rPr>
          <w:rFonts w:ascii="Arial" w:cs="Arial" w:eastAsia="Arial" w:hAnsi="Arial"/>
          <w:sz w:val="15"/>
          <w:szCs w:val="15"/>
          <w:color w:val="auto"/>
        </w:rPr>
        <w:t>monetizing their content, all within Dropbox. This platform allows creators to easily sell content directly to their customers. Users can add content directly from Dropbox or their computer, set a custom image, audio, or video preview, and determine their price. Buyers with a Dropbox account can access everything they have purchased when logged in and those that don't have Dropbox can purchase content via email verification and download it within a specific timeframe.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Collaborate</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i w:val="1"/>
          <w:iCs w:val="1"/>
          <w:color w:val="auto"/>
        </w:rPr>
        <w:t>Comments and annotations</w:t>
      </w:r>
      <w:r>
        <w:rPr>
          <w:rFonts w:ascii="Arial" w:cs="Arial" w:eastAsia="Arial" w:hAnsi="Arial"/>
          <w:sz w:val="17"/>
          <w:szCs w:val="17"/>
          <w:color w:val="auto"/>
        </w:rPr>
        <w:t>. Dropbox comments and annotations marry content with the conversations and relevant context around it. Instead of being</w:t>
      </w:r>
      <w:r>
        <w:rPr>
          <w:rFonts w:ascii="Arial" w:cs="Arial" w:eastAsia="Arial" w:hAnsi="Arial"/>
          <w:sz w:val="17"/>
          <w:szCs w:val="17"/>
          <w:i w:val="1"/>
          <w:iCs w:val="1"/>
          <w:color w:val="auto"/>
        </w:rPr>
        <w:t xml:space="preserve"> </w:t>
      </w:r>
      <w:r>
        <w:rPr>
          <w:rFonts w:ascii="Arial" w:cs="Arial" w:eastAsia="Arial" w:hAnsi="Arial"/>
          <w:sz w:val="17"/>
          <w:szCs w:val="17"/>
          <w:color w:val="auto"/>
        </w:rPr>
        <w:t>scattered across separate silos, such as email and chat, the editing and development of content are tied to a file. Users can give feedback on specific parts of files through a rich, innovative overlay on our web and mobile platforms.</w:t>
      </w:r>
    </w:p>
    <w:p>
      <w:pPr>
        <w:spacing w:after="0" w:line="198"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i w:val="1"/>
          <w:iCs w:val="1"/>
          <w:color w:val="auto"/>
        </w:rPr>
        <w:t xml:space="preserve">File activity stream. </w:t>
      </w:r>
      <w:r>
        <w:rPr>
          <w:rFonts w:ascii="Arial" w:cs="Arial" w:eastAsia="Arial" w:hAnsi="Arial"/>
          <w:sz w:val="17"/>
          <w:szCs w:val="17"/>
          <w:color w:val="auto"/>
        </w:rPr>
        <w:t>An activity feed lives next to every file preview on our web interface and in the desktop app, telling users what’s happening with a</w:t>
      </w:r>
      <w:r>
        <w:rPr>
          <w:rFonts w:ascii="Arial" w:cs="Arial" w:eastAsia="Arial" w:hAnsi="Arial"/>
          <w:sz w:val="17"/>
          <w:szCs w:val="17"/>
          <w:i w:val="1"/>
          <w:iCs w:val="1"/>
          <w:color w:val="auto"/>
        </w:rPr>
        <w:t xml:space="preserve"> </w:t>
      </w:r>
      <w:r>
        <w:rPr>
          <w:rFonts w:ascii="Arial" w:cs="Arial" w:eastAsia="Arial" w:hAnsi="Arial"/>
          <w:sz w:val="17"/>
          <w:szCs w:val="17"/>
          <w:color w:val="auto"/>
        </w:rPr>
        <w:t>file. The feed shows when someone opens a file, edits a file, or shares a file.</w:t>
      </w:r>
    </w:p>
    <w:p>
      <w:pPr>
        <w:spacing w:after="0" w:line="185" w:lineRule="exact"/>
        <w:rPr>
          <w:sz w:val="20"/>
          <w:szCs w:val="20"/>
          <w:color w:val="auto"/>
        </w:rPr>
      </w:pPr>
    </w:p>
    <w:p>
      <w:pPr>
        <w:ind w:right="300" w:firstLine="433"/>
        <w:spacing w:after="0" w:line="360" w:lineRule="auto"/>
        <w:rPr>
          <w:sz w:val="20"/>
          <w:szCs w:val="20"/>
          <w:color w:val="auto"/>
        </w:rPr>
      </w:pPr>
      <w:r>
        <w:rPr>
          <w:rFonts w:ascii="Arial" w:cs="Arial" w:eastAsia="Arial" w:hAnsi="Arial"/>
          <w:sz w:val="15"/>
          <w:szCs w:val="15"/>
          <w:i w:val="1"/>
          <w:iCs w:val="1"/>
          <w:color w:val="auto"/>
        </w:rPr>
        <w:t>Notifications</w:t>
      </w:r>
      <w:r>
        <w:rPr>
          <w:rFonts w:ascii="Arial" w:cs="Arial" w:eastAsia="Arial" w:hAnsi="Arial"/>
          <w:sz w:val="15"/>
          <w:szCs w:val="15"/>
          <w:color w:val="auto"/>
        </w:rPr>
        <w:t>. We use real-time notifications across all our channels—web, desktop, email, and mobile—to keep users up-to-date on what’s happening</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their work. Users can choose to be notified when someone opens, edits, shares, or comments on a file, or adds a file to their shared folders.</w:t>
      </w:r>
    </w:p>
    <w:p>
      <w:pPr>
        <w:spacing w:after="0" w:line="138"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i w:val="1"/>
          <w:iCs w:val="1"/>
          <w:color w:val="auto"/>
        </w:rPr>
        <w:t>Viewer information and presence</w:t>
      </w:r>
      <w:r>
        <w:rPr>
          <w:rFonts w:ascii="Arial" w:cs="Arial" w:eastAsia="Arial" w:hAnsi="Arial"/>
          <w:sz w:val="17"/>
          <w:szCs w:val="17"/>
          <w:color w:val="auto"/>
        </w:rPr>
        <w:t>. On both file previews and Paper docs, Dropbox shows users in real-time who’s viewing a doc and when a doc was last</w:t>
      </w:r>
      <w:r>
        <w:rPr>
          <w:rFonts w:ascii="Arial" w:cs="Arial" w:eastAsia="Arial" w:hAnsi="Arial"/>
          <w:sz w:val="17"/>
          <w:szCs w:val="17"/>
          <w:i w:val="1"/>
          <w:iCs w:val="1"/>
          <w:color w:val="auto"/>
        </w:rPr>
        <w:t xml:space="preserve"> </w:t>
      </w:r>
      <w:r>
        <w:rPr>
          <w:rFonts w:ascii="Arial" w:cs="Arial" w:eastAsia="Arial" w:hAnsi="Arial"/>
          <w:sz w:val="17"/>
          <w:szCs w:val="17"/>
          <w:color w:val="auto"/>
        </w:rPr>
        <w:t>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02" w:lineRule="exact"/>
        <w:rPr>
          <w:sz w:val="20"/>
          <w:szCs w:val="20"/>
          <w:color w:val="auto"/>
        </w:rPr>
      </w:pPr>
    </w:p>
    <w:p>
      <w:pPr>
        <w:ind w:right="300" w:firstLine="393"/>
        <w:spacing w:after="0" w:line="289" w:lineRule="auto"/>
        <w:rPr>
          <w:sz w:val="20"/>
          <w:szCs w:val="20"/>
          <w:color w:val="auto"/>
        </w:rPr>
      </w:pPr>
      <w:r>
        <w:rPr>
          <w:rFonts w:ascii="Arial" w:cs="Arial" w:eastAsia="Arial" w:hAnsi="Arial"/>
          <w:sz w:val="17"/>
          <w:szCs w:val="17"/>
          <w:i w:val="1"/>
          <w:iCs w:val="1"/>
          <w:color w:val="auto"/>
        </w:rPr>
        <w:t xml:space="preserve">HelloSign. </w:t>
      </w:r>
      <w:r>
        <w:rPr>
          <w:rFonts w:ascii="Arial" w:cs="Arial" w:eastAsia="Arial" w:hAnsi="Arial"/>
          <w:sz w:val="17"/>
          <w:szCs w:val="17"/>
          <w:color w:val="auto"/>
        </w:rPr>
        <w:t>HelloSign is an eSignature and document workflow platform that enables customers to easily sign, send, and receive documents through its</w:t>
      </w:r>
      <w:r>
        <w:rPr>
          <w:rFonts w:ascii="Arial" w:cs="Arial" w:eastAsia="Arial" w:hAnsi="Arial"/>
          <w:sz w:val="17"/>
          <w:szCs w:val="17"/>
          <w:i w:val="1"/>
          <w:iCs w:val="1"/>
          <w:color w:val="auto"/>
        </w:rPr>
        <w:t xml:space="preserve"> </w:t>
      </w:r>
      <w:r>
        <w:rPr>
          <w:rFonts w:ascii="Arial" w:cs="Arial" w:eastAsia="Arial" w:hAnsi="Arial"/>
          <w:sz w:val="17"/>
          <w:szCs w:val="17"/>
          <w:color w:val="auto"/>
        </w:rPr>
        <w:t>intuitive web and mobile based interfaces. Once documents are signed, copies automatically sync to the user's Dropbox account.</w:t>
      </w:r>
    </w:p>
    <w:p>
      <w:pPr>
        <w:spacing w:after="0" w:line="185" w:lineRule="exact"/>
        <w:rPr>
          <w:sz w:val="20"/>
          <w:szCs w:val="20"/>
          <w:color w:val="auto"/>
        </w:rPr>
      </w:pPr>
    </w:p>
    <w:p>
      <w:pPr>
        <w:ind w:right="540" w:firstLine="393"/>
        <w:spacing w:after="0" w:line="289" w:lineRule="auto"/>
        <w:rPr>
          <w:sz w:val="20"/>
          <w:szCs w:val="20"/>
          <w:color w:val="auto"/>
        </w:rPr>
      </w:pPr>
      <w:r>
        <w:rPr>
          <w:rFonts w:ascii="Arial" w:cs="Arial" w:eastAsia="Arial" w:hAnsi="Arial"/>
          <w:sz w:val="17"/>
          <w:szCs w:val="17"/>
          <w:i w:val="1"/>
          <w:iCs w:val="1"/>
          <w:color w:val="auto"/>
        </w:rPr>
        <w:t xml:space="preserve">Capture. </w:t>
      </w:r>
      <w:r>
        <w:rPr>
          <w:rFonts w:ascii="Arial" w:cs="Arial" w:eastAsia="Arial" w:hAnsi="Arial"/>
          <w:sz w:val="17"/>
          <w:szCs w:val="17"/>
          <w:color w:val="auto"/>
        </w:rPr>
        <w:t>Dropbox Capture is an all-in-one visual communication tool that helps team members share their work and idea asynchronously. Dropbox</w:t>
      </w:r>
      <w:r>
        <w:rPr>
          <w:rFonts w:ascii="Arial" w:cs="Arial" w:eastAsia="Arial" w:hAnsi="Arial"/>
          <w:sz w:val="17"/>
          <w:szCs w:val="17"/>
          <w:i w:val="1"/>
          <w:iCs w:val="1"/>
          <w:color w:val="auto"/>
        </w:rPr>
        <w:t xml:space="preserve"> </w:t>
      </w:r>
      <w:r>
        <w:rPr>
          <w:rFonts w:ascii="Arial" w:cs="Arial" w:eastAsia="Arial" w:hAnsi="Arial"/>
          <w:sz w:val="17"/>
          <w:szCs w:val="17"/>
          <w:color w:val="auto"/>
        </w:rPr>
        <w:t>Capture allows users to visually present their work through easy-to-take screen recordings, GIFs, and screenshots.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Security protections. </w:t>
      </w:r>
      <w:r>
        <w:rPr>
          <w:rFonts w:ascii="Arial" w:cs="Arial" w:eastAsia="Arial" w:hAnsi="Arial"/>
          <w:sz w:val="17"/>
          <w:szCs w:val="17"/>
          <w:color w:val="auto"/>
        </w:rPr>
        <w:t>We employ strong protections for all of the data on our platform.</w:t>
      </w:r>
    </w:p>
    <w:p>
      <w:pPr>
        <w:spacing w:after="0" w:line="132" w:lineRule="exact"/>
        <w:rPr>
          <w:sz w:val="20"/>
          <w:szCs w:val="20"/>
          <w:color w:val="auto"/>
        </w:rPr>
      </w:pPr>
    </w:p>
    <w:p>
      <w:pPr>
        <w:ind w:left="640" w:hanging="320"/>
        <w:spacing w:after="0" w:line="273"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Encryption</w:t>
      </w:r>
      <w:r>
        <w:rPr>
          <w:rFonts w:ascii="Arial" w:cs="Arial" w:eastAsia="Arial" w:hAnsi="Arial"/>
          <w:sz w:val="17"/>
          <w:szCs w:val="17"/>
          <w:color w:val="auto"/>
        </w:rPr>
        <w:t>. Dropbox file data at rest is encrypted using 256-bit Advanced Encryption Standard, or AES. To protect data in transit between Dropbox</w:t>
      </w:r>
      <w:r>
        <w:rPr>
          <w:rFonts w:ascii="Arial" w:cs="Arial" w:eastAsia="Arial" w:hAnsi="Arial"/>
          <w:sz w:val="17"/>
          <w:szCs w:val="17"/>
          <w:i w:val="1"/>
          <w:iCs w:val="1"/>
          <w:color w:val="auto"/>
        </w:rPr>
        <w:t xml:space="preserve"> </w:t>
      </w:r>
      <w:r>
        <w:rPr>
          <w:rFonts w:ascii="Arial" w:cs="Arial" w:eastAsia="Arial" w:hAnsi="Arial"/>
          <w:sz w:val="17"/>
          <w:szCs w:val="17"/>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67" w:lineRule="exact"/>
        <w:rPr>
          <w:rFonts w:ascii="Arial" w:cs="Arial" w:eastAsia="Arial" w:hAnsi="Arial"/>
          <w:sz w:val="17"/>
          <w:szCs w:val="17"/>
          <w:color w:val="auto"/>
        </w:rPr>
      </w:pPr>
    </w:p>
    <w:p>
      <w:pPr>
        <w:ind w:left="640" w:right="120" w:hanging="320"/>
        <w:spacing w:after="0" w:line="273"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File recovery</w:t>
      </w:r>
      <w:r>
        <w:rPr>
          <w:rFonts w:ascii="Arial" w:cs="Arial" w:eastAsia="Arial" w:hAnsi="Arial"/>
          <w:sz w:val="17"/>
          <w:szCs w:val="17"/>
          <w:color w:val="auto"/>
        </w:rPr>
        <w:t>. Every deletion event in Dropbox is recorded, including when groups of files are deleted. Users can easily recover files through our web</w:t>
      </w:r>
      <w:r>
        <w:rPr>
          <w:rFonts w:ascii="Arial" w:cs="Arial" w:eastAsia="Arial" w:hAnsi="Arial"/>
          <w:sz w:val="17"/>
          <w:szCs w:val="17"/>
          <w:i w:val="1"/>
          <w:iCs w:val="1"/>
          <w:color w:val="auto"/>
        </w:rPr>
        <w:t xml:space="preserve"> </w:t>
      </w:r>
      <w:r>
        <w:rPr>
          <w:rFonts w:ascii="Arial" w:cs="Arial" w:eastAsia="Arial" w:hAnsi="Arial"/>
          <w:sz w:val="17"/>
          <w:szCs w:val="17"/>
          <w:color w:val="auto"/>
        </w:rPr>
        <w:t>interface. Dropbox Plus subscribers may recover prior versions for up to 30 days after deletion, and Dropbox Professional and Dropbox Business subscribers may recover prior versions for up to 180 days after deletion.</w:t>
      </w:r>
    </w:p>
    <w:p>
      <w:pPr>
        <w:spacing w:after="0" w:line="172"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i w:val="1"/>
          <w:iCs w:val="1"/>
          <w:color w:val="auto"/>
        </w:rPr>
        <w:t>Administrator controls</w:t>
      </w:r>
      <w:r>
        <w:rPr>
          <w:rFonts w:ascii="Arial" w:cs="Arial" w:eastAsia="Arial" w:hAnsi="Arial"/>
          <w:sz w:val="17"/>
          <w:szCs w:val="17"/>
          <w:color w:val="auto"/>
        </w:rPr>
        <w:t>. Dropbox Business team administrators have many ways to customize security settings in both global and granular ways,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real-time detections of suspicious behavior, risky activity, and potential data leaks.</w:t>
      </w:r>
    </w:p>
    <w:p>
      <w:pPr>
        <w:spacing w:after="0" w:line="67" w:lineRule="exact"/>
        <w:rPr>
          <w:sz w:val="20"/>
          <w:szCs w:val="20"/>
          <w:color w:val="auto"/>
        </w:rPr>
      </w:pPr>
    </w:p>
    <w:p>
      <w:pPr>
        <w:ind w:left="640" w:right="560" w:hanging="320"/>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Sharing permissions</w:t>
      </w:r>
      <w:r>
        <w:rPr>
          <w:rFonts w:ascii="Arial" w:cs="Arial" w:eastAsia="Arial" w:hAnsi="Arial"/>
          <w:sz w:val="17"/>
          <w:szCs w:val="17"/>
          <w:color w:val="auto"/>
        </w:rPr>
        <w:t>: Team administrators can set up and monitor how their members share team folders, and can set sharing permissions on all</w:t>
      </w:r>
      <w:r>
        <w:rPr>
          <w:rFonts w:ascii="Arial" w:cs="Arial" w:eastAsia="Arial" w:hAnsi="Arial"/>
          <w:sz w:val="17"/>
          <w:szCs w:val="17"/>
          <w:i w:val="1"/>
          <w:iCs w:val="1"/>
          <w:color w:val="auto"/>
        </w:rPr>
        <w:t xml:space="preserve"> </w:t>
      </w:r>
      <w:r>
        <w:rPr>
          <w:rFonts w:ascii="Arial" w:cs="Arial" w:eastAsia="Arial" w:hAnsi="Arial"/>
          <w:sz w:val="17"/>
          <w:szCs w:val="17"/>
          <w:color w:val="auto"/>
        </w:rPr>
        <w:t>folders, sub-folders, and links through the sharing tab.</w:t>
      </w:r>
    </w:p>
    <w:p>
      <w:pPr>
        <w:spacing w:after="0" w:line="53" w:lineRule="exact"/>
        <w:rPr>
          <w:rFonts w:ascii="Arial" w:cs="Arial" w:eastAsia="Arial" w:hAnsi="Arial"/>
          <w:sz w:val="17"/>
          <w:szCs w:val="17"/>
          <w:color w:val="auto"/>
        </w:rPr>
      </w:pPr>
    </w:p>
    <w:p>
      <w:pPr>
        <w:ind w:left="640" w:right="160" w:hanging="320"/>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Remote device wipe</w:t>
      </w:r>
      <w:r>
        <w:rPr>
          <w:rFonts w:ascii="Arial" w:cs="Arial" w:eastAsia="Arial" w:hAnsi="Arial"/>
          <w:sz w:val="17"/>
          <w:szCs w:val="17"/>
          <w:color w:val="auto"/>
        </w:rPr>
        <w:t>: Team administrators can delete their organization’s Dropbox content from a member’s linked devices, which is especially useful</w:t>
      </w:r>
      <w:r>
        <w:rPr>
          <w:rFonts w:ascii="Arial" w:cs="Arial" w:eastAsia="Arial" w:hAnsi="Arial"/>
          <w:sz w:val="17"/>
          <w:szCs w:val="17"/>
          <w:i w:val="1"/>
          <w:iCs w:val="1"/>
          <w:color w:val="auto"/>
        </w:rPr>
        <w:t xml:space="preserve"> </w:t>
      </w:r>
      <w:r>
        <w:rPr>
          <w:rFonts w:ascii="Arial" w:cs="Arial" w:eastAsia="Arial" w:hAnsi="Arial"/>
          <w:sz w:val="17"/>
          <w:szCs w:val="17"/>
          <w:color w:val="auto"/>
        </w:rPr>
        <w:t>should someone lose a device or leave the team.</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640" w:right="60" w:hanging="320"/>
        <w:spacing w:after="0" w:line="273"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Audit log</w:t>
      </w:r>
      <w:r>
        <w:rPr>
          <w:rFonts w:ascii="Arial" w:cs="Arial" w:eastAsia="Arial" w:hAnsi="Arial"/>
          <w:sz w:val="17"/>
          <w:szCs w:val="17"/>
          <w:color w:val="auto"/>
        </w:rPr>
        <w:t>: Team administrators can monitor which members are sharing files and logging into Dropbox, among other events. They can review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logs, create full reports for specific time ranges, and pull activity reports on specific members. Advanced and Enterprise team administrators have access to audit logs with file-event tracking.</w:t>
      </w:r>
    </w:p>
    <w:p>
      <w:pPr>
        <w:spacing w:after="0" w:line="67"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Device approvals</w:t>
      </w:r>
      <w:r>
        <w:rPr>
          <w:rFonts w:ascii="Arial" w:cs="Arial" w:eastAsia="Arial" w:hAnsi="Arial"/>
          <w:sz w:val="17"/>
          <w:szCs w:val="17"/>
          <w:color w:val="auto"/>
        </w:rPr>
        <w:t>: Advanced and Enterprise team administrators can manage how members access Dropbox on their devices.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Tiered administrator roles</w:t>
      </w:r>
      <w:r>
        <w:rPr>
          <w:rFonts w:ascii="Arial" w:cs="Arial" w:eastAsia="Arial" w:hAnsi="Arial"/>
          <w:sz w:val="15"/>
          <w:szCs w:val="15"/>
          <w:color w:val="auto"/>
        </w:rPr>
        <w:t>: Advanced and Enterprise teams have the ability to set multiple administrator roles, each with a different set of permissions.</w:t>
      </w:r>
    </w:p>
    <w:p>
      <w:pPr>
        <w:spacing w:after="0" w:line="142" w:lineRule="exact"/>
        <w:rPr>
          <w:rFonts w:ascii="Arial" w:cs="Arial" w:eastAsia="Arial" w:hAnsi="Arial"/>
          <w:sz w:val="15"/>
          <w:szCs w:val="15"/>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Network control</w:t>
      </w:r>
      <w:r>
        <w:rPr>
          <w:rFonts w:ascii="Arial" w:cs="Arial" w:eastAsia="Arial" w:hAnsi="Arial"/>
          <w:sz w:val="17"/>
          <w:szCs w:val="17"/>
          <w:color w:val="auto"/>
        </w:rPr>
        <w:t>: Enterprise team administrators can restrict personal Dropbox usage on their organization’s network.</w:t>
      </w:r>
    </w:p>
    <w:p>
      <w:pPr>
        <w:spacing w:after="0" w:line="224"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i w:val="1"/>
          <w:iCs w:val="1"/>
          <w:color w:val="auto"/>
        </w:rPr>
        <w:t>Third-party security integrations</w:t>
      </w:r>
      <w:r>
        <w:rPr>
          <w:rFonts w:ascii="Arial" w:cs="Arial" w:eastAsia="Arial" w:hAnsi="Arial"/>
          <w:sz w:val="17"/>
          <w:szCs w:val="17"/>
          <w:color w:val="auto"/>
        </w:rPr>
        <w:t>. We’ve partnered with industry-leading third parties to enable us to provide a wide range of IT processes and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compliance standards, including:</w:t>
      </w:r>
    </w:p>
    <w:p>
      <w:pPr>
        <w:spacing w:after="0" w:line="67" w:lineRule="exact"/>
        <w:rPr>
          <w:sz w:val="20"/>
          <w:szCs w:val="20"/>
          <w:color w:val="auto"/>
        </w:rPr>
      </w:pPr>
    </w:p>
    <w:p>
      <w:pPr>
        <w:ind w:left="640" w:right="8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Security information and event management</w:t>
      </w:r>
      <w:r>
        <w:rPr>
          <w:rFonts w:ascii="Arial" w:cs="Arial" w:eastAsia="Arial" w:hAnsi="Arial"/>
          <w:sz w:val="17"/>
          <w:szCs w:val="17"/>
          <w:color w:val="auto"/>
        </w:rPr>
        <w:t>: Allows Dropbox Business administrators to oversee and manage employee activity, and access sensitive</w:t>
      </w:r>
      <w:r>
        <w:rPr>
          <w:rFonts w:ascii="Arial" w:cs="Arial" w:eastAsia="Arial" w:hAnsi="Arial"/>
          <w:sz w:val="17"/>
          <w:szCs w:val="17"/>
          <w:i w:val="1"/>
          <w:iCs w:val="1"/>
          <w:color w:val="auto"/>
        </w:rPr>
        <w:t xml:space="preserve"> </w:t>
      </w:r>
      <w:r>
        <w:rPr>
          <w:rFonts w:ascii="Arial" w:cs="Arial" w:eastAsia="Arial" w:hAnsi="Arial"/>
          <w:sz w:val="17"/>
          <w:szCs w:val="17"/>
          <w:color w:val="auto"/>
        </w:rPr>
        <w:t>data through the administrator page.</w:t>
      </w:r>
    </w:p>
    <w:p>
      <w:pPr>
        <w:spacing w:after="0" w:line="53" w:lineRule="exact"/>
        <w:rPr>
          <w:rFonts w:ascii="Arial" w:cs="Arial" w:eastAsia="Arial" w:hAnsi="Arial"/>
          <w:sz w:val="17"/>
          <w:szCs w:val="17"/>
          <w:color w:val="auto"/>
        </w:rPr>
      </w:pPr>
    </w:p>
    <w:p>
      <w:pPr>
        <w:ind w:left="640" w:right="46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Data loss prevention</w:t>
      </w:r>
      <w:r>
        <w:rPr>
          <w:rFonts w:ascii="Arial" w:cs="Arial" w:eastAsia="Arial" w:hAnsi="Arial"/>
          <w:sz w:val="17"/>
          <w:szCs w:val="17"/>
          <w:color w:val="auto"/>
        </w:rPr>
        <w:t>: Protects sensitive data like personally identifiable information and payment card industry data stored in Dropbox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w:t>
      </w:r>
    </w:p>
    <w:p>
      <w:pPr>
        <w:spacing w:after="0" w:line="53" w:lineRule="exact"/>
        <w:rPr>
          <w:rFonts w:ascii="Arial" w:cs="Arial" w:eastAsia="Arial" w:hAnsi="Arial"/>
          <w:sz w:val="17"/>
          <w:szCs w:val="17"/>
          <w:color w:val="auto"/>
        </w:rPr>
      </w:pPr>
    </w:p>
    <w:p>
      <w:pPr>
        <w:ind w:left="640" w:right="58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eDiscovery and legal hold</w:t>
      </w:r>
      <w:r>
        <w:rPr>
          <w:rFonts w:ascii="Arial" w:cs="Arial" w:eastAsia="Arial" w:hAnsi="Arial"/>
          <w:sz w:val="17"/>
          <w:szCs w:val="17"/>
          <w:color w:val="auto"/>
        </w:rPr>
        <w:t>: Enables secure search and the ability to collect and preserve electronically stored information in Dropbox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Digital rights management</w:t>
      </w:r>
      <w:r>
        <w:rPr>
          <w:rFonts w:ascii="Arial" w:cs="Arial" w:eastAsia="Arial" w:hAnsi="Arial"/>
          <w:sz w:val="17"/>
          <w:szCs w:val="17"/>
          <w:color w:val="auto"/>
        </w:rPr>
        <w:t>: Provides third-party encryption for company data stored in Dropbox Business accounts.</w:t>
      </w:r>
    </w:p>
    <w:p>
      <w:pPr>
        <w:spacing w:after="0" w:line="119" w:lineRule="exact"/>
        <w:rPr>
          <w:rFonts w:ascii="Arial" w:cs="Arial" w:eastAsia="Arial" w:hAnsi="Arial"/>
          <w:sz w:val="17"/>
          <w:szCs w:val="17"/>
          <w:color w:val="auto"/>
        </w:rPr>
      </w:pPr>
    </w:p>
    <w:p>
      <w:pPr>
        <w:ind w:left="640" w:right="16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Data migration and on-premises backup</w:t>
      </w:r>
      <w:r>
        <w:rPr>
          <w:rFonts w:ascii="Arial" w:cs="Arial" w:eastAsia="Arial" w:hAnsi="Arial"/>
          <w:sz w:val="17"/>
          <w:szCs w:val="17"/>
          <w:color w:val="auto"/>
        </w:rPr>
        <w:t>: Assists in transferring large amounts of data between locations and securing sensitive information with on-site data backup.</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Identity management</w:t>
      </w:r>
      <w:r>
        <w:rPr>
          <w:rFonts w:ascii="Arial" w:cs="Arial" w:eastAsia="Arial" w:hAnsi="Arial"/>
          <w:sz w:val="16"/>
          <w:szCs w:val="16"/>
          <w:color w:val="auto"/>
        </w:rPr>
        <w:t>: Allows companies to keep their Dropbox Business team authenticated with an external identity provider like Active Directory.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offer a range of subscription plans for our users, including a free, Basic plan, paid Personal plans, and Business plans.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5" w:lineRule="exact"/>
        <w:rPr>
          <w:sz w:val="20"/>
          <w:szCs w:val="20"/>
          <w:color w:val="auto"/>
        </w:rPr>
      </w:pPr>
    </w:p>
    <w:p>
      <w:pPr>
        <w:ind w:right="80" w:firstLine="433"/>
        <w:spacing w:after="0" w:line="309" w:lineRule="auto"/>
        <w:rPr>
          <w:sz w:val="20"/>
          <w:szCs w:val="20"/>
          <w:color w:val="auto"/>
        </w:rPr>
      </w:pPr>
      <w:r>
        <w:rPr>
          <w:rFonts w:ascii="Arial" w:cs="Arial" w:eastAsia="Arial" w:hAnsi="Arial"/>
          <w:sz w:val="15"/>
          <w:szCs w:val="15"/>
          <w:color w:val="auto"/>
        </w:rPr>
        <w:t>We’ve built a thriving global business with 16.79 million paying users. As of December 31, 2021, we had more than 550,000 paying Dropbox Business teams. Our customer base is highly diversified, and in 2019, 2020, and 2021,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How we support our customers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of our users can access support through the following resources:</w:t>
      </w:r>
    </w:p>
    <w:p>
      <w:pPr>
        <w:spacing w:after="0" w:line="132" w:lineRule="exact"/>
        <w:rPr>
          <w:sz w:val="20"/>
          <w:szCs w:val="20"/>
          <w:color w:val="auto"/>
        </w:rPr>
      </w:pPr>
    </w:p>
    <w:p>
      <w:pPr>
        <w:ind w:left="640" w:right="200" w:hanging="320"/>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Help center</w:t>
      </w:r>
      <w:r>
        <w:rPr>
          <w:rFonts w:ascii="Arial" w:cs="Arial" w:eastAsia="Arial" w:hAnsi="Arial"/>
          <w:sz w:val="17"/>
          <w:szCs w:val="17"/>
          <w:color w:val="auto"/>
        </w:rPr>
        <w:t>: Provides an online repository of helpful information about our platform, responses to frequently asked questions, and best practices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use.</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Community support</w:t>
      </w:r>
      <w:r>
        <w:rPr>
          <w:rFonts w:ascii="Arial" w:cs="Arial" w:eastAsia="Arial" w:hAnsi="Arial"/>
          <w:sz w:val="17"/>
          <w:szCs w:val="17"/>
          <w:color w:val="auto"/>
        </w:rPr>
        <w:t>: Facilitates collaboration between users on answers, solutions, and ideas about our platform in an online community.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Social media support</w:t>
      </w:r>
      <w:r>
        <w:rPr>
          <w:rFonts w:ascii="Arial" w:cs="Arial" w:eastAsia="Arial" w:hAnsi="Arial"/>
          <w:sz w:val="17"/>
          <w:szCs w:val="17"/>
          <w:color w:val="auto"/>
        </w:rPr>
        <w:t>: Provides users real-time product and service updates, and offers tips and troubleshooting information.</w:t>
      </w:r>
    </w:p>
    <w:p>
      <w:pPr>
        <w:spacing w:after="0" w:line="119" w:lineRule="exact"/>
        <w:rPr>
          <w:rFonts w:ascii="Arial" w:cs="Arial" w:eastAsia="Arial" w:hAnsi="Arial"/>
          <w:sz w:val="17"/>
          <w:szCs w:val="17"/>
          <w:color w:val="auto"/>
        </w:rPr>
      </w:pPr>
    </w:p>
    <w:p>
      <w:pPr>
        <w:ind w:left="640" w:right="80" w:hanging="320"/>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Guided troubleshooting</w:t>
      </w:r>
      <w:r>
        <w:rPr>
          <w:rFonts w:ascii="Arial" w:cs="Arial" w:eastAsia="Arial" w:hAnsi="Arial"/>
          <w:sz w:val="17"/>
          <w:szCs w:val="17"/>
          <w:color w:val="auto"/>
        </w:rPr>
        <w:t>: Offers step-by-step instructions to resolve common questions and provides a portal to submit help requests for questions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aren’t otherwise addressed.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We also offer additional levels of support for our paying users depending on the subscription plan they choose.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Sales and Marketing Approach</w:t>
      </w:r>
    </w:p>
    <w:p>
      <w:pPr>
        <w:spacing w:after="0" w:line="125" w:lineRule="exact"/>
        <w:rPr>
          <w:sz w:val="20"/>
          <w:szCs w:val="20"/>
          <w:color w:val="auto"/>
        </w:rPr>
      </w:pPr>
    </w:p>
    <w:p>
      <w:pPr>
        <w:ind w:right="180" w:firstLine="433"/>
        <w:spacing w:after="0" w:line="289" w:lineRule="auto"/>
        <w:rPr>
          <w:sz w:val="20"/>
          <w:szCs w:val="20"/>
          <w:color w:val="auto"/>
        </w:rPr>
      </w:pPr>
      <w:r>
        <w:rPr>
          <w:rFonts w:ascii="Arial" w:cs="Arial" w:eastAsia="Arial" w:hAnsi="Arial"/>
          <w:sz w:val="17"/>
          <w:szCs w:val="17"/>
          <w:color w:val="auto"/>
        </w:rPr>
        <w:t>As users share content and collaborate on our platform, they introduce and invite new users, driving viral growth. We generate over 90% of our revenue from self-serve channels, which limits customer acquisition costs.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We’ve developed an efficient marketing function that’s focused on building brand awareness and reinforcing our self-serve model.</w:t>
      </w:r>
    </w:p>
    <w:p>
      <w:pPr>
        <w:spacing w:after="0" w:line="250" w:lineRule="exact"/>
        <w:rPr>
          <w:sz w:val="20"/>
          <w:szCs w:val="20"/>
          <w:color w:val="auto"/>
        </w:rPr>
      </w:pPr>
    </w:p>
    <w:p>
      <w:pPr>
        <w:ind w:right="60" w:firstLine="433"/>
        <w:spacing w:after="0" w:line="265" w:lineRule="auto"/>
        <w:rPr>
          <w:sz w:val="20"/>
          <w:szCs w:val="20"/>
          <w:color w:val="auto"/>
        </w:rPr>
      </w:pPr>
      <w:r>
        <w:rPr>
          <w:rFonts w:ascii="Arial" w:cs="Arial" w:eastAsia="Arial" w:hAnsi="Arial"/>
          <w:sz w:val="17"/>
          <w:szCs w:val="17"/>
          <w:color w:val="auto"/>
        </w:rPr>
        <w:t>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Each year, hundreds of millions of devices—including computers, phones, and tablets—are actively connected to the Dropbox platform, representing a large number of touchpoints to communicate with our users. We complement our self-serve strategy with a focused outbound sales effort targeted at organizations with existing organic adoption of Dropbox.</w:t>
      </w:r>
    </w:p>
    <w:p>
      <w:pPr>
        <w:spacing w:after="0" w:line="206" w:lineRule="exact"/>
        <w:rPr>
          <w:sz w:val="20"/>
          <w:szCs w:val="20"/>
          <w:color w:val="auto"/>
        </w:rPr>
      </w:pPr>
    </w:p>
    <w:p>
      <w:pPr>
        <w:ind w:right="540" w:firstLine="433"/>
        <w:spacing w:after="0" w:line="289" w:lineRule="auto"/>
        <w:rPr>
          <w:sz w:val="20"/>
          <w:szCs w:val="20"/>
          <w:color w:val="auto"/>
        </w:rPr>
      </w:pPr>
      <w:r>
        <w:rPr>
          <w:rFonts w:ascii="Arial" w:cs="Arial" w:eastAsia="Arial" w:hAnsi="Arial"/>
          <w:sz w:val="17"/>
          <w:szCs w:val="17"/>
          <w:color w:val="auto"/>
        </w:rPr>
        <w:t>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 Infrastructure and Operations</w:t>
      </w:r>
    </w:p>
    <w:p>
      <w:pPr>
        <w:spacing w:after="0" w:line="125"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Oregon, Texas, and Virginia.</w:t>
      </w:r>
    </w:p>
    <w:p>
      <w:pPr>
        <w:spacing w:after="0" w:line="198"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We also utilize Amazon Web Services, or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spacing w:after="0" w:line="198" w:lineRule="exact"/>
        <w:rPr>
          <w:sz w:val="20"/>
          <w:szCs w:val="20"/>
          <w:color w:val="auto"/>
        </w:rPr>
      </w:pPr>
    </w:p>
    <w:p>
      <w:pPr>
        <w:jc w:val="both"/>
        <w:ind w:right="120" w:firstLine="433"/>
        <w:spacing w:after="0" w:line="273" w:lineRule="auto"/>
        <w:rPr>
          <w:sz w:val="20"/>
          <w:szCs w:val="20"/>
          <w:color w:val="auto"/>
        </w:rPr>
      </w:pPr>
      <w:r>
        <w:rPr>
          <w:rFonts w:ascii="Arial" w:cs="Arial" w:eastAsia="Arial" w:hAnsi="Arial"/>
          <w:sz w:val="17"/>
          <w:szCs w:val="17"/>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Commitment to Security, Privacy and Legal Compliance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Trust is the foundation of our relationship with our users, and we take significant measures every day to protect their privacy and security.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Security</w:t>
      </w:r>
    </w:p>
    <w:p>
      <w:pPr>
        <w:spacing w:after="0" w:line="119" w:lineRule="exact"/>
        <w:rPr>
          <w:sz w:val="20"/>
          <w:szCs w:val="20"/>
          <w:color w:val="auto"/>
        </w:rPr>
      </w:pPr>
    </w:p>
    <w:p>
      <w:pPr>
        <w:ind w:right="160" w:firstLine="433"/>
        <w:spacing w:after="0" w:line="281" w:lineRule="auto"/>
        <w:rPr>
          <w:sz w:val="20"/>
          <w:szCs w:val="20"/>
          <w:color w:val="auto"/>
        </w:rPr>
      </w:pPr>
      <w:r>
        <w:rPr>
          <w:rFonts w:ascii="Arial" w:cs="Arial" w:eastAsia="Arial" w:hAnsi="Arial"/>
          <w:sz w:val="16"/>
          <w:szCs w:val="16"/>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 through our bug bounty program, where we work with leading security researchers from around the world to maintain the high standards of security our users have come to expect.</w:t>
      </w:r>
    </w:p>
    <w:p>
      <w:pPr>
        <w:spacing w:after="0" w:line="197"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Privacy</w:t>
      </w:r>
    </w:p>
    <w:p>
      <w:pPr>
        <w:spacing w:after="0" w:line="119"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We are committed to keeping user data private, and are subject to a number of privacy laws and regulations such as the European Union's General Data Protection Regulation ("GDPR") and the California Consumer Privacy Act ("CCPA") in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U.S. These laws and regulations impose increasingly numerous, complex obligations on us. To comply with and manage our obligations under such privacy laws and regulations, we operate a robust privacy program and have appointed a Data Protection Officer. Our privacy policy details how we process our users’ personal data as well as the steps we take to protect it. For third-party developers that create applications that connect to Dropbox, we also set forth terms and guidelines that explain their obligation to protect the privacy of our users' personal data.</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Government Regulations</w:t>
      </w:r>
    </w:p>
    <w:p>
      <w:pPr>
        <w:spacing w:after="0" w:line="119"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We are subject to compliance with various laws and regulations. These include those covering copyright, indecent content, child protection, and similar matters regarding the content stored and created on our platform as well as consumer protection laws that may impact our sales and marketing efforts, including laws related to subscriptions, billing, and auto renewal. In addition to laws and regulations governing content stored and created on our platform and consumer protection, we are also subject to anti-corruption laws and export and import regulations. The laws in these areas are often in a state of flux and can vary widely between jurisdictions. To comply with and manage our obligations under such laws and regulations, we track relevant legislative, regulatory, and contractual requirements. In addition, we have instituted processes and policies to ensure we review our business practices for appropriate compliance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25" w:lineRule="exact"/>
        <w:rPr>
          <w:sz w:val="20"/>
          <w:szCs w:val="20"/>
          <w:color w:val="auto"/>
        </w:rPr>
      </w:pPr>
    </w:p>
    <w:p>
      <w:pPr>
        <w:ind w:right="60" w:firstLine="433"/>
        <w:spacing w:after="0" w:line="265"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Slack, Google, and Adobe and in the content collaboration market with products offered by Microsoft, Atlassian, and Google. On a more limited basis, we compete with Box in the cloud storage market for deployments by large enterprises and with Adobe and DocuSign in the e-signature market. We also compete with smaller private companies that offer point solutions in the cloud storage market or the content collaboration market.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that the principal competitive factors in our markets include the following:</w:t>
      </w:r>
    </w:p>
    <w:p>
      <w:pPr>
        <w:spacing w:after="0" w:line="132" w:lineRule="exact"/>
        <w:rPr>
          <w:sz w:val="20"/>
          <w:szCs w:val="20"/>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brand;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systems, and applications;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pricing.</w:t>
      </w:r>
    </w:p>
    <w:p>
      <w:pPr>
        <w:spacing w:after="0" w:line="224"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We believe we compete favorably across these factors and are largely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5"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right="140" w:firstLine="433"/>
        <w:spacing w:after="0" w:line="273" w:lineRule="auto"/>
        <w:rPr>
          <w:sz w:val="20"/>
          <w:szCs w:val="20"/>
          <w:color w:val="auto"/>
        </w:rPr>
      </w:pPr>
      <w:r>
        <w:rPr>
          <w:rFonts w:ascii="Arial" w:cs="Arial" w:eastAsia="Arial" w:hAnsi="Arial"/>
          <w:sz w:val="17"/>
          <w:szCs w:val="17"/>
          <w:color w:val="auto"/>
        </w:rPr>
        <w:t>We have over 1,400 issued patents and more than 350 pending patent applications in the United States and abroad. These patents and patent applications seek to protect our proprietary inventions relevant to our business. In addition, we license a number of key third-party patents in the file collaboration, storage, syncing, and sharing markets.</w:t>
      </w:r>
    </w:p>
    <w:p>
      <w:pPr>
        <w:spacing w:after="0" w:line="198"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98" w:lineRule="exact"/>
        <w:rPr>
          <w:sz w:val="20"/>
          <w:szCs w:val="20"/>
          <w:color w:val="auto"/>
        </w:rPr>
      </w:pPr>
    </w:p>
    <w:p>
      <w:pPr>
        <w:jc w:val="both"/>
        <w:ind w:right="340" w:firstLine="433"/>
        <w:spacing w:after="0" w:line="326"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5" w:lineRule="exact"/>
        <w:rPr>
          <w:sz w:val="20"/>
          <w:szCs w:val="20"/>
          <w:color w:val="auto"/>
        </w:rPr>
      </w:pPr>
    </w:p>
    <w:p>
      <w:pPr>
        <w:ind w:right="140" w:firstLine="433"/>
        <w:spacing w:after="0" w:line="290" w:lineRule="auto"/>
        <w:rPr>
          <w:sz w:val="20"/>
          <w:szCs w:val="20"/>
          <w:color w:val="auto"/>
        </w:rPr>
      </w:pPr>
      <w:r>
        <w:rPr>
          <w:rFonts w:ascii="Arial" w:cs="Arial" w:eastAsia="Arial" w:hAnsi="Arial"/>
          <w:sz w:val="16"/>
          <w:szCs w:val="16"/>
          <w:color w:val="auto"/>
        </w:rPr>
        <w:t>At Dropbox, we believe that the world can work better. But that starts with us: building a team that emphasizes the kindness and collaboration needed to grow. We believe the strength of our workforce is one of the most significant contributors to our success. As of December 31, 2021, we had 2,667 full-time employees. Of our full-time employees, 2,293 were located in the United States and 374 were employees located outside of the United States. None of our employees are represented by a labor union. We have not experienced any work stoppages, and we believe that our employee relations are strong.</w:t>
      </w:r>
    </w:p>
    <w:p>
      <w:pPr>
        <w:spacing w:after="0" w:line="186" w:lineRule="exact"/>
        <w:rPr>
          <w:sz w:val="20"/>
          <w:szCs w:val="20"/>
          <w:color w:val="auto"/>
        </w:rPr>
      </w:pPr>
    </w:p>
    <w:p>
      <w:pPr>
        <w:ind w:right="100" w:firstLine="433"/>
        <w:spacing w:after="0" w:line="360" w:lineRule="auto"/>
        <w:rPr>
          <w:sz w:val="20"/>
          <w:szCs w:val="20"/>
          <w:color w:val="auto"/>
        </w:rPr>
      </w:pPr>
      <w:r>
        <w:rPr>
          <w:rFonts w:ascii="Arial" w:cs="Arial" w:eastAsia="Arial" w:hAnsi="Arial"/>
          <w:sz w:val="15"/>
          <w:szCs w:val="15"/>
          <w:color w:val="auto"/>
        </w:rPr>
        <w:t>On January 13, 2021, we announced a reduction in our global workforce of approximately 11% in order to streamline our operations and reallocate our investments to support our strategic priorities. We provided employees impacted by this reduction in force with severance packages and job placement support.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Virtual First</w:t>
      </w:r>
    </w:p>
    <w:p>
      <w:pPr>
        <w:spacing w:after="0" w:line="119" w:lineRule="exact"/>
        <w:rPr>
          <w:sz w:val="20"/>
          <w:szCs w:val="20"/>
          <w:color w:val="auto"/>
        </w:rPr>
      </w:pPr>
    </w:p>
    <w:p>
      <w:pPr>
        <w:ind w:firstLine="433"/>
        <w:spacing w:after="0" w:line="283" w:lineRule="auto"/>
        <w:rPr>
          <w:sz w:val="20"/>
          <w:szCs w:val="20"/>
          <w:color w:val="auto"/>
        </w:rPr>
      </w:pPr>
      <w:r>
        <w:rPr>
          <w:rFonts w:ascii="Arial" w:cs="Arial" w:eastAsia="Arial" w:hAnsi="Arial"/>
          <w:sz w:val="16"/>
          <w:szCs w:val="16"/>
          <w:color w:val="auto"/>
        </w:rPr>
        <w:t>In October 2020, we announced our Virtual First work model pursuant to which remote work has become the primary experience for all of our employees. As a result, we intend for our workforce to continue becoming more distributed over time. We also promote work-life balance by empowering our employees to adopt flexible working arrangements and providing tools for efficient remote collaboration and continuing to provide opportunities for in-person collaboration, when safe to do so, at our “Dropbox Studios” locations. Additionally, we provide our employees with a flexible quarterly allowance that can be used to cover expenses related to health and fitness, family and caregiver support, productivity and ergonomics, financial wellness, and learning and development programs, as well as resources to support Dropboxer effectiveness in their work environments.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 Program</w:t>
      </w:r>
    </w:p>
    <w:p>
      <w:pPr>
        <w:spacing w:after="0" w:line="119" w:lineRule="exact"/>
        <w:rPr>
          <w:sz w:val="20"/>
          <w:szCs w:val="20"/>
          <w:color w:val="auto"/>
        </w:rPr>
      </w:pPr>
    </w:p>
    <w:p>
      <w:pPr>
        <w:ind w:right="180" w:firstLine="433"/>
        <w:spacing w:after="0" w:line="264" w:lineRule="auto"/>
        <w:rPr>
          <w:sz w:val="20"/>
          <w:szCs w:val="20"/>
          <w:color w:val="auto"/>
        </w:rPr>
      </w:pPr>
      <w:r>
        <w:rPr>
          <w:rFonts w:ascii="Arial" w:cs="Arial" w:eastAsia="Arial" w:hAnsi="Arial"/>
          <w:sz w:val="17"/>
          <w:szCs w:val="17"/>
          <w:color w:val="auto"/>
        </w:rPr>
        <w:t>Our compensation program is designed to attract and reward talented individuals who possess the skills necessary to support our business, contribute to our strategic goals and create long-term value for our stockholders. We provide employees with competitive compensation packages that include base salary, annual incentive bonuses, 401(k) with a company match, and equity awards tied to the value of our stock price. Our highly competitive benefits package includes medical, dental, vision, life and disability plans. In addition to these core benefits, Dropbox also provides enhanced mental health benefits, family formation benefits and our adoption and surrogacy assistance program. Our comprehensive programs also provide various leave benefits - including 24 weeks of leave for new parents.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Wellness and Safety</w:t>
      </w:r>
    </w:p>
    <w:p>
      <w:pPr>
        <w:spacing w:after="0" w:line="250"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We recognize the importance of the well-being of our employees. With the shift to our Virtual First work model, we remain committed to supporting their well-being and development. A component of our comprehensive health and wellness benefits package to all employees includes additional time-off opportunities as well as mental and physical wellness benefits. We conduct a bi-annual employee satisfaction survey to gather candid feedback from employees with focus on areas such as experience with our managers, wellness initiatives, career and company initiatives. Survey results are reviewed extensively and become part of our action plans at all levels of the organization.</w:t>
      </w:r>
    </w:p>
    <w:p>
      <w:pPr>
        <w:spacing w:after="0" w:line="2" w:lineRule="exact"/>
        <w:rPr>
          <w:sz w:val="20"/>
          <w:szCs w:val="20"/>
          <w:color w:val="auto"/>
        </w:rPr>
      </w:pPr>
    </w:p>
    <w:p>
      <w:pPr>
        <w:ind w:right="60" w:firstLine="433"/>
        <w:spacing w:after="0" w:line="284" w:lineRule="auto"/>
        <w:rPr>
          <w:sz w:val="20"/>
          <w:szCs w:val="20"/>
          <w:color w:val="auto"/>
        </w:rPr>
      </w:pPr>
      <w:r>
        <w:rPr>
          <w:rFonts w:ascii="Arial" w:cs="Arial" w:eastAsia="Arial" w:hAnsi="Arial"/>
          <w:sz w:val="16"/>
          <w:szCs w:val="16"/>
          <w:color w:val="auto"/>
        </w:rPr>
        <w:t>In addition, the safety of our employees is paramount to our success. We have a physical security policy applicable to all our employees with a global physical security team that is empowered to protect the safety of our employees in the event of emergencies or disasters. We also established Global COVID-19 Workplace Health &amp; Safety Standards, based on guidance from public health authorities, for situations where it was necessary for employees to enter our offices. This is driven through a centralized, cross-functional Crisis Management Team dedicated to Dropbox’s COVID-19 response.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Learning and Development</w:t>
      </w:r>
    </w:p>
    <w:p>
      <w:pPr>
        <w:spacing w:after="0" w:line="119"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We want all of our employees to have thriving careers where they grow and develop in meaningful ways. We develop and provide access to internal learning and development resources to assist in professional development in various ways such as skills-building programs, on-demand learning options, mentoring programs, and leadership development courses. We also offer extensive onboarding and training programs to prepare our employees at all levels for career progression and individual development.</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and Inclusion</w:t>
      </w:r>
    </w:p>
    <w:p>
      <w:pPr>
        <w:spacing w:after="0" w:line="119"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We believe that an equitable and inclusive environment comprised of diverse teams produces more creative solutions, results in better and more innovative products, and is crucial to our efforts to attract and retain key talent. We are focused on building an inclusive culture and sustaining a diverse workforce through a variety of company initiatives. As part of that effort we have a number of executive-sponsored Employee Resource Groups, or ERGs, that provide support for diverse members of our workforce by fostering an inclusive environment and providing professional development and community-building opportunities. In addition, we provide resources and training to employees at all levels to ensure that we are hiring, promoting and retaining diverse teams, as well as sponsor a number of professional development programs to support the advancement of underrepresented employees at our Company.</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Community</w:t>
      </w:r>
    </w:p>
    <w:p>
      <w:pPr>
        <w:spacing w:after="0" w:line="119" w:lineRule="exact"/>
        <w:rPr>
          <w:sz w:val="20"/>
          <w:szCs w:val="20"/>
          <w:color w:val="auto"/>
        </w:rPr>
      </w:pPr>
    </w:p>
    <w:p>
      <w:pPr>
        <w:ind w:right="640" w:firstLine="393"/>
        <w:spacing w:after="0" w:line="289" w:lineRule="auto"/>
        <w:rPr>
          <w:sz w:val="20"/>
          <w:szCs w:val="20"/>
          <w:color w:val="auto"/>
        </w:rPr>
      </w:pPr>
      <w:r>
        <w:rPr>
          <w:rFonts w:ascii="Arial" w:cs="Arial" w:eastAsia="Arial" w:hAnsi="Arial"/>
          <w:sz w:val="17"/>
          <w:szCs w:val="17"/>
          <w:color w:val="auto"/>
        </w:rPr>
        <w:t>We empower our employees to give back to their communities by providing paid volunteer time off, matching a portion of employee donations to nonprofits and making product donations to nonprofit organizations nominated by our employees.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25"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We were incorporated in May 2007 as Evenflow, Inc., a Delaware corporation, and changed our name to Dropbox, Inc. in October 2009. Our principal offices are located at 1800 Owens Street, San Francisco, California, 94158, and our telephone number is (415) 857-6800. Our Class A common stock is listed on the Nasdaq Global Select Market under the symbol “DBX.”</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5" w:lineRule="exact"/>
        <w:rPr>
          <w:sz w:val="20"/>
          <w:szCs w:val="20"/>
          <w:color w:val="auto"/>
        </w:rPr>
      </w:pPr>
    </w:p>
    <w:p>
      <w:pPr>
        <w:ind w:right="120" w:firstLine="433"/>
        <w:spacing w:after="0" w:line="280" w:lineRule="auto"/>
        <w:rPr>
          <w:sz w:val="20"/>
          <w:szCs w:val="20"/>
          <w:color w:val="auto"/>
        </w:rPr>
      </w:pPr>
      <w:r>
        <w:rPr>
          <w:rFonts w:ascii="Arial" w:cs="Arial" w:eastAsia="Arial" w:hAnsi="Arial"/>
          <w:sz w:val="16"/>
          <w:szCs w:val="16"/>
          <w:color w:val="auto"/>
        </w:rPr>
        <w:t>Our website is located at http://www.dropbox.com/, our investor relations website is located at http://investors.dropbox.com/, and our blog is located at https://blog.dropbox.com/topics/news. We have used, and intend to continue to use, our investor relations website, our blog, press releases, public conference calls and webcasts to disclose material non-public information and to comply with our disclosure obligations under Regulation FD. The following filings are available through our investor relations website after we file them with the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6"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56"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85" w:lineRule="exact"/>
        <w:rPr>
          <w:sz w:val="20"/>
          <w:szCs w:val="20"/>
          <w:color w:val="auto"/>
        </w:rPr>
      </w:pPr>
    </w:p>
    <w:p>
      <w:pPr>
        <w:ind w:right="120" w:firstLine="393"/>
        <w:spacing w:after="0" w:line="246" w:lineRule="auto"/>
        <w:rPr>
          <w:sz w:val="20"/>
          <w:szCs w:val="20"/>
          <w:color w:val="auto"/>
        </w:rPr>
      </w:pPr>
      <w:r>
        <w:rPr>
          <w:rFonts w:ascii="Arial" w:cs="Arial" w:eastAsia="Arial" w:hAnsi="Arial"/>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catastrophic events, such as the ongoing COVID-19 pandemic, on our paying users. In addition, some paying users downgrade or do not renew their subscriptions.</w:t>
      </w:r>
    </w:p>
    <w:p>
      <w:pPr>
        <w:spacing w:after="0" w:line="210"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w:t>
      </w:r>
    </w:p>
    <w:p>
      <w:pPr>
        <w:spacing w:after="0" w:line="199" w:lineRule="exact"/>
        <w:rPr>
          <w:sz w:val="20"/>
          <w:szCs w:val="20"/>
          <w:color w:val="auto"/>
        </w:rPr>
      </w:pPr>
    </w:p>
    <w:p>
      <w:pPr>
        <w:ind w:right="240" w:firstLine="393"/>
        <w:spacing w:after="0" w:line="273"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50" w:lineRule="exact"/>
        <w:rPr>
          <w:sz w:val="20"/>
          <w:szCs w:val="20"/>
          <w:color w:val="auto"/>
        </w:rPr>
      </w:pPr>
    </w:p>
    <w:p>
      <w:pPr>
        <w:ind w:right="400" w:firstLine="393"/>
        <w:spacing w:after="0" w:line="298" w:lineRule="auto"/>
        <w:rPr>
          <w:sz w:val="20"/>
          <w:szCs w:val="20"/>
          <w:color w:val="auto"/>
        </w:rPr>
      </w:pPr>
      <w:r>
        <w:rPr>
          <w:rFonts w:ascii="Arial" w:cs="Arial" w:eastAsia="Arial" w:hAnsi="Arial"/>
          <w:sz w:val="16"/>
          <w:szCs w:val="16"/>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80"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2021, we served over 700 million registered users but only 16.79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In addition, our user growth rate has and may continue to slow in the future as our market penetration rates increase and we turn our focus to converting registered users to paying users rather than growing the total number of registered users. The availability of less expensive and bundled competitive products also has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may cause these users to delay or reduce technology spending, which may impact our ability to convert registered users or otherwise attract new paying users.</w:t>
      </w:r>
    </w:p>
    <w:p>
      <w:pPr>
        <w:spacing w:after="0" w:line="193"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 or incidents.</w:t>
      </w:r>
    </w:p>
    <w:p>
      <w:pPr>
        <w:spacing w:after="0" w:line="185" w:lineRule="exact"/>
        <w:rPr>
          <w:sz w:val="20"/>
          <w:szCs w:val="20"/>
          <w:color w:val="auto"/>
        </w:rPr>
      </w:pPr>
    </w:p>
    <w:p>
      <w:pPr>
        <w:ind w:right="80" w:firstLine="393"/>
        <w:spacing w:after="0" w:line="278"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w:t>
      </w:r>
    </w:p>
    <w:p>
      <w:pPr>
        <w:spacing w:after="0" w:line="196" w:lineRule="exact"/>
        <w:rPr>
          <w:sz w:val="20"/>
          <w:szCs w:val="20"/>
          <w:color w:val="auto"/>
        </w:rPr>
      </w:pPr>
    </w:p>
    <w:p>
      <w:pPr>
        <w:ind w:right="20" w:firstLine="393"/>
        <w:spacing w:after="0" w:line="276" w:lineRule="auto"/>
        <w:rPr>
          <w:sz w:val="20"/>
          <w:szCs w:val="20"/>
          <w:color w:val="auto"/>
        </w:rPr>
      </w:pPr>
      <w:r>
        <w:rPr>
          <w:rFonts w:ascii="Arial" w:cs="Arial" w:eastAsia="Arial" w:hAnsi="Arial"/>
          <w:sz w:val="16"/>
          <w:szCs w:val="16"/>
          <w:color w:val="auto"/>
        </w:rPr>
        <w:t>Emerging and evolving cybersecurity threats such as the attack on SolarWinds and the Log4j vulnerablity reported in December 2021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we are actively taking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obtain access to data or content that we or third parties on which we rely store or otherwise process. Notwithstanding our efforts, we may fail to detect the existence of security breaches or incidents, including breaches or compromise of user content, and be unable to prevent unauthorized access to user content.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If our security measures are breached or compromised or we, our systems or networks, or those of third parties on which we rely otherwise are subject to a security breach or incident, or our users’ content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6"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shift to Virtual First.</w:t>
      </w:r>
    </w:p>
    <w:p>
      <w:pPr>
        <w:spacing w:after="0" w:line="198" w:lineRule="exact"/>
        <w:rPr>
          <w:sz w:val="20"/>
          <w:szCs w:val="20"/>
          <w:color w:val="auto"/>
        </w:rPr>
      </w:pPr>
    </w:p>
    <w:p>
      <w:pPr>
        <w:ind w:right="120" w:firstLine="393"/>
        <w:spacing w:after="0" w:line="289" w:lineRule="auto"/>
        <w:rPr>
          <w:sz w:val="20"/>
          <w:szCs w:val="20"/>
          <w:color w:val="auto"/>
        </w:rPr>
      </w:pPr>
      <w:r>
        <w:rPr>
          <w:rFonts w:ascii="Arial" w:cs="Arial" w:eastAsia="Arial" w:hAnsi="Arial"/>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adhere to adequate data security practices, or in the event of a breach or other compromise of their networks or systems, our data or our users' data may be improperly accessed, used, or disclosed.</w:t>
      </w:r>
    </w:p>
    <w:p>
      <w:pPr>
        <w:spacing w:after="0" w:line="185"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Third parties may attempt to compromise our employees and their privileged access into internal systems to gain access to accounts, our information, our networks, or our systems or those of third parties on which we rely. Employee error, malfeasance, or other errors in the storage, use, transmission, or other processing of personal information could result in an actual or perceived breach of user privacy. These risks may be heightened as we transition to a Virtual First and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189"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Any unauthorized or inadvertent access to, or an actual or perceived security breach of or incident impacting, our systems, infrastructure, or networks or of third parties on which we rely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96" w:lineRule="exact"/>
        <w:rPr>
          <w:sz w:val="20"/>
          <w:szCs w:val="20"/>
          <w:color w:val="auto"/>
        </w:rPr>
      </w:pPr>
    </w:p>
    <w:p>
      <w:pPr>
        <w:ind w:right="640"/>
        <w:spacing w:after="0" w:line="289" w:lineRule="auto"/>
        <w:rPr>
          <w:sz w:val="20"/>
          <w:szCs w:val="20"/>
          <w:color w:val="auto"/>
        </w:rPr>
      </w:pPr>
      <w:r>
        <w:rPr>
          <w:rFonts w:ascii="Arial" w:cs="Arial" w:eastAsia="Arial" w:hAnsi="Arial"/>
          <w:sz w:val="17"/>
          <w:szCs w:val="17"/>
          <w:b w:val="1"/>
          <w:bCs w:val="1"/>
          <w:i w:val="1"/>
          <w:iCs w:val="1"/>
          <w:color w:val="auto"/>
        </w:rPr>
        <w:t>We have a limited history of operating with a Virtual First workforce and the long-term impact on our financial results and business operations are uncertain.</w:t>
      </w:r>
    </w:p>
    <w:p>
      <w:pPr>
        <w:spacing w:after="0" w:line="185"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In October 2020, we announced a Virtual First work model pursuant to which remote work has become the primary experience for all of our employees and our intention is for our workforce continue being more distributed over time. However, we have a limited history of operating with a Virtual First workforce and, although we anticipate that our shift to a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206" w:lineRule="exact"/>
        <w:rPr>
          <w:sz w:val="20"/>
          <w:szCs w:val="20"/>
          <w:color w:val="auto"/>
        </w:rPr>
      </w:pPr>
    </w:p>
    <w:p>
      <w:pPr>
        <w:ind w:right="260" w:firstLine="393"/>
        <w:spacing w:after="0" w:line="290" w:lineRule="auto"/>
        <w:rPr>
          <w:sz w:val="20"/>
          <w:szCs w:val="20"/>
          <w:color w:val="auto"/>
        </w:rPr>
      </w:pPr>
      <w:r>
        <w:rPr>
          <w:rFonts w:ascii="Arial" w:cs="Arial" w:eastAsia="Arial" w:hAnsi="Arial"/>
          <w:sz w:val="16"/>
          <w:szCs w:val="16"/>
          <w:color w:val="auto"/>
        </w:rPr>
        <w:t>Our continuing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86"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In addition, as we continue our shift to Virutal First,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GAAP profitability in future periods. Furthermore, any prolonged recessionary period and industry shifts towards remote work, including as a result of the ongoing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50" w:lineRule="exact"/>
        <w:rPr>
          <w:sz w:val="20"/>
          <w:szCs w:val="20"/>
          <w:color w:val="auto"/>
        </w:rPr>
      </w:pPr>
    </w:p>
    <w:p>
      <w:pPr>
        <w:jc w:val="both"/>
        <w:ind w:right="80" w:firstLine="393"/>
        <w:spacing w:after="0" w:line="273"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compete with Box in the cloud storage market for deployments by large enterprises and with Adobe and DocuSign in the e-signature market. We also compete with smaller private companies that offer point solutions in the cloud storage market or the content collaboration market. We believe the principal competitive factors in our markets include the following:</w:t>
      </w:r>
    </w:p>
    <w:p>
      <w:pPr>
        <w:spacing w:after="0" w:line="198" w:lineRule="exact"/>
        <w:rPr>
          <w:sz w:val="20"/>
          <w:szCs w:val="20"/>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brand;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pricing.</w:t>
      </w:r>
    </w:p>
    <w:p>
      <w:pPr>
        <w:spacing w:after="0" w:line="250" w:lineRule="exact"/>
        <w:rPr>
          <w:sz w:val="20"/>
          <w:szCs w:val="20"/>
          <w:color w:val="auto"/>
        </w:rPr>
      </w:pPr>
    </w:p>
    <w:p>
      <w:pPr>
        <w:ind w:firstLine="172"/>
        <w:spacing w:after="0" w:line="283" w:lineRule="auto"/>
        <w:rPr>
          <w:sz w:val="20"/>
          <w:szCs w:val="20"/>
          <w:color w:val="auto"/>
        </w:rPr>
      </w:pPr>
      <w:r>
        <w:rPr>
          <w:rFonts w:ascii="Arial" w:cs="Arial" w:eastAsia="Arial" w:hAnsi="Arial"/>
          <w:sz w:val="16"/>
          <w:szCs w:val="16"/>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93" w:lineRule="exact"/>
        <w:rPr>
          <w:sz w:val="20"/>
          <w:szCs w:val="20"/>
          <w:color w:val="auto"/>
        </w:rPr>
      </w:pPr>
    </w:p>
    <w:p>
      <w:pPr>
        <w:ind w:right="80" w:firstLine="393"/>
        <w:spacing w:after="0" w:line="298"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0" w:lineRule="exact"/>
        <w:rPr>
          <w:sz w:val="20"/>
          <w:szCs w:val="20"/>
          <w:color w:val="auto"/>
        </w:rPr>
      </w:pPr>
    </w:p>
    <w:p>
      <w:pPr>
        <w:ind w:right="140" w:firstLine="393"/>
        <w:spacing w:after="0" w:line="298" w:lineRule="auto"/>
        <w:rPr>
          <w:sz w:val="20"/>
          <w:szCs w:val="20"/>
          <w:color w:val="auto"/>
        </w:rPr>
      </w:pPr>
      <w:r>
        <w:rPr>
          <w:rFonts w:ascii="Arial" w:cs="Arial" w:eastAsia="Arial" w:hAnsi="Arial"/>
          <w:sz w:val="16"/>
          <w:szCs w:val="16"/>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3"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440"/>
        <w:spacing w:after="0" w:line="322" w:lineRule="auto"/>
        <w:rPr>
          <w:sz w:val="20"/>
          <w:szCs w:val="20"/>
          <w:color w:val="auto"/>
        </w:rPr>
      </w:pPr>
      <w:r>
        <w:rPr>
          <w:rFonts w:ascii="Arial" w:cs="Arial" w:eastAsia="Arial" w:hAnsi="Arial"/>
          <w:sz w:val="16"/>
          <w:szCs w:val="16"/>
          <w:color w:val="auto"/>
        </w:rPr>
        <w:t>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62"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50" w:lineRule="exact"/>
        <w:rPr>
          <w:sz w:val="20"/>
          <w:szCs w:val="20"/>
          <w:color w:val="auto"/>
        </w:rPr>
      </w:pPr>
    </w:p>
    <w:p>
      <w:pPr>
        <w:ind w:right="80" w:firstLine="393"/>
        <w:spacing w:after="0" w:line="264"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5"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189" w:lineRule="exact"/>
        <w:rPr>
          <w:sz w:val="20"/>
          <w:szCs w:val="20"/>
          <w:color w:val="auto"/>
        </w:rPr>
      </w:pPr>
    </w:p>
    <w:p>
      <w:pPr>
        <w:ind w:firstLine="393"/>
        <w:spacing w:after="0" w:line="260" w:lineRule="auto"/>
        <w:rPr>
          <w:sz w:val="20"/>
          <w:szCs w:val="20"/>
          <w:color w:val="auto"/>
        </w:rPr>
      </w:pPr>
      <w:r>
        <w:rPr>
          <w:rFonts w:ascii="Arial" w:cs="Arial" w:eastAsia="Arial" w:hAnsi="Arial"/>
          <w:sz w:val="15"/>
          <w:szCs w:val="15"/>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effects of the COVID-19 pandemic, in addition to competition for a limited supply of such equipment, our global supply chain for datacenter equipment has experienced challenges, and such challenges could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w:t>
      </w:r>
    </w:p>
    <w:p>
      <w:pPr>
        <w:spacing w:after="0" w:line="3"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193" w:lineRule="exact"/>
        <w:rPr>
          <w:sz w:val="20"/>
          <w:szCs w:val="20"/>
          <w:color w:val="auto"/>
        </w:rPr>
      </w:pPr>
    </w:p>
    <w:p>
      <w:pPr>
        <w:ind w:right="80" w:firstLine="393"/>
        <w:spacing w:after="0" w:line="262"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85"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202"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8" w:lineRule="exact"/>
        <w:rPr>
          <w:sz w:val="20"/>
          <w:szCs w:val="20"/>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pricing.</w:t>
      </w:r>
    </w:p>
    <w:p>
      <w:pPr>
        <w:spacing w:after="0" w:line="250"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8"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85" w:lineRule="exact"/>
        <w:rPr>
          <w:sz w:val="20"/>
          <w:szCs w:val="20"/>
          <w:color w:val="auto"/>
        </w:rPr>
      </w:pPr>
    </w:p>
    <w:p>
      <w:pPr>
        <w:ind w:firstLine="393"/>
        <w:spacing w:after="0" w:line="260"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2020, we introduced Dropbox Passwords and Vault to provide additional security features for our users to safely store and access content on our platform. More recently, in 2021 we launched Dropbox Transfer as a way for users to safely and securely send large files, Dropbox Shop which allows creators to easily sell content directly to their customers, and Dropbox Capture which allows users to visually present their work through easy-to-take screen recordings, GIFs, and screenshots.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The risk of such disruptions and decreased productivity may persist as we continue to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85" w:lineRule="exact"/>
        <w:rPr>
          <w:sz w:val="20"/>
          <w:szCs w:val="20"/>
          <w:color w:val="auto"/>
        </w:rPr>
      </w:pPr>
    </w:p>
    <w:p>
      <w:pPr>
        <w:ind w:right="20" w:firstLine="393"/>
        <w:spacing w:after="0" w:line="277" w:lineRule="auto"/>
        <w:rPr>
          <w:sz w:val="20"/>
          <w:szCs w:val="20"/>
          <w:color w:val="auto"/>
        </w:rPr>
      </w:pPr>
      <w:r>
        <w:rPr>
          <w:rFonts w:ascii="Arial" w:cs="Arial" w:eastAsia="Arial" w:hAnsi="Arial"/>
          <w:sz w:val="16"/>
          <w:szCs w:val="16"/>
          <w:color w:val="auto"/>
        </w:rPr>
        <w:t>Although we did not experience material impacts to our financial condition and results of operations during the year ended December 31, 2021, as a result of the on-going COVID-19 pandemic, 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purchases or renewals of paid licenses for access to our platform, delays or defaults on payment obligations, which could negatively affect our revenues and cash flows, (2) modifications to net payment terms or invoice frequency, which could negatively affect our cash flows, (3) fluctuations in foreign currency exchange rates, which have and may in the future negatively impact our results of operations and cash flows, and (4) decreases in interest rates, which have and may continue to reduce interest income.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In addition, economic effects related to the COVID-19 pandemic, such as ongoing supply chain disruption, a competitive labor market and labor shortages have impacted, and may continue to impact, us and our customers and vendors.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201" w:lineRule="exact"/>
        <w:rPr>
          <w:sz w:val="20"/>
          <w:szCs w:val="20"/>
          <w:color w:val="auto"/>
        </w:rPr>
      </w:pPr>
    </w:p>
    <w:p>
      <w:pPr>
        <w:ind w:firstLine="393"/>
        <w:spacing w:after="0" w:line="314" w:lineRule="auto"/>
        <w:rPr>
          <w:sz w:val="20"/>
          <w:szCs w:val="20"/>
          <w:color w:val="auto"/>
        </w:rPr>
      </w:pPr>
      <w:r>
        <w:rPr>
          <w:rFonts w:ascii="Arial" w:cs="Arial" w:eastAsia="Arial" w:hAnsi="Arial"/>
          <w:sz w:val="15"/>
          <w:szCs w:val="15"/>
          <w:color w:val="auto"/>
        </w:rPr>
        <w:t>We have seen, and expect to continue to see, cost savings from the shift to remote work for all of our employees as a result of the COVID-19 pandemic in areas that include events, travel, utilities, and other benefits. Although we anticipate that some of these cost savings will continue beyond the resolution of the COVID-19 pandemic as result of our continuing shift to a Virtual First work model, we expect that some expenses in these areas will increase relative to current levels as we become more able to offer our employees opportunities for in-person collaboration, and this may impact our rate of profitability in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successfully execute our plan for future growth.</w:t>
      </w:r>
    </w:p>
    <w:p>
      <w:pPr>
        <w:spacing w:after="0" w:line="250" w:lineRule="exact"/>
        <w:rPr>
          <w:sz w:val="20"/>
          <w:szCs w:val="20"/>
          <w:color w:val="auto"/>
        </w:rPr>
      </w:pPr>
    </w:p>
    <w:p>
      <w:pPr>
        <w:ind w:right="100" w:firstLine="393"/>
        <w:spacing w:after="0" w:line="264" w:lineRule="auto"/>
        <w:rPr>
          <w:sz w:val="20"/>
          <w:szCs w:val="20"/>
          <w:color w:val="auto"/>
        </w:rPr>
      </w:pPr>
      <w:r>
        <w:rPr>
          <w:rFonts w:ascii="Arial" w:cs="Arial" w:eastAsia="Arial" w:hAnsi="Arial"/>
          <w:sz w:val="16"/>
          <w:szCs w:val="16"/>
          <w:color w:val="auto"/>
        </w:rPr>
        <w:t>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as we transition to a Virtual First workforce and seek to align our resources in order to create a more nimble and streamlined organization. Certain members of our management do not have prior experience managing a public company, which may affect how they manage our growth. Managing our growth will also require significant expenditures and allocation of valuable management resources.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20" w:firstLine="393"/>
        <w:spacing w:after="0" w:line="265" w:lineRule="auto"/>
        <w:rPr>
          <w:sz w:val="20"/>
          <w:szCs w:val="20"/>
          <w:color w:val="auto"/>
        </w:rPr>
      </w:pPr>
      <w:r>
        <w:rPr>
          <w:rFonts w:ascii="Arial" w:cs="Arial" w:eastAsia="Arial" w:hAnsi="Arial"/>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06"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85"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89"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(including the ongoing COVID-19 pandemic), or our ability to maintain an effective workforce may be impacted.</w:t>
      </w:r>
    </w:p>
    <w:p>
      <w:pPr>
        <w:spacing w:after="0" w:line="197"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To execute our business plan, we must attract and retain highly qualified personnel. Competition for these employees is intense and has recently intensified as a result of industry trends and we may not be successful in attracting and retaining qualified personnel. We have experienced, and we may continue experience, difficulty in hiring and retaining highly skilled employees with appropriate qualifications. As we transition to a Virtual First workforce,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208"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January 2021 workforce reduction and higher employee turnover could significantly and adversely impact our culture, as could our transition to a Virtual First workforce.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50"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Furthermore, as part of our workforce reduction in January 2021 we have reduced the size of our outbound sales force to simplify and drive further efficiencies in our outbound sales operations.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50"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catastrophic events, including public health epidemics such as the ongoing COVID-19 pandemic, that limit our ability to travel or meet in person, as well as the reduction in the size of our outbound sales force as part of our workforce reduction in January 2021. As a result, sales to large organizations may lead to greater unpredictability in our business,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50" w:lineRule="exact"/>
        <w:rPr>
          <w:sz w:val="20"/>
          <w:szCs w:val="20"/>
          <w:color w:val="auto"/>
        </w:rPr>
      </w:pPr>
    </w:p>
    <w:p>
      <w:pPr>
        <w:ind w:right="80" w:firstLine="393"/>
        <w:spacing w:after="0" w:line="261"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16.79 million as of December 31, 2021.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85"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205"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5"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We have paying users across 180 countries and approximately half of our revenue in the year ended December 31, 2021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260" w:right="440" w:hanging="311"/>
        <w:spacing w:after="0" w:line="273" w:lineRule="auto"/>
        <w:tabs>
          <w:tab w:leader="none" w:pos="1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with applicable international laws, regulations, and standards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98" w:lineRule="exact"/>
        <w:rPr>
          <w:rFonts w:ascii="Arial" w:cs="Arial" w:eastAsia="Arial" w:hAnsi="Arial"/>
          <w:sz w:val="17"/>
          <w:szCs w:val="17"/>
          <w:color w:val="auto"/>
        </w:rPr>
      </w:pPr>
    </w:p>
    <w:p>
      <w:pPr>
        <w:ind w:left="1260" w:right="360" w:hanging="311"/>
        <w:spacing w:after="0" w:line="289" w:lineRule="auto"/>
        <w:tabs>
          <w:tab w:leader="none" w:pos="1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the United States, and maintaining our company culture across all of our locations, including as we shift to Virtual First and an increasingly distributed workforce;</w:t>
      </w:r>
    </w:p>
    <w:p>
      <w:pPr>
        <w:spacing w:after="0" w:line="184" w:lineRule="exact"/>
        <w:rPr>
          <w:rFonts w:ascii="Arial" w:cs="Arial" w:eastAsia="Arial" w:hAnsi="Arial"/>
          <w:sz w:val="17"/>
          <w:szCs w:val="17"/>
          <w:color w:val="auto"/>
        </w:rPr>
      </w:pPr>
    </w:p>
    <w:p>
      <w:pPr>
        <w:ind w:left="1260" w:hanging="311"/>
        <w:spacing w:after="0" w:line="360" w:lineRule="auto"/>
        <w:tabs>
          <w:tab w:leader="none" w:pos="1255"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right="400" w:hanging="311"/>
        <w:spacing w:after="0" w:line="289" w:lineRule="auto"/>
        <w:tabs>
          <w:tab w:leader="none" w:pos="1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management of an employee base in jurisdictions that may not give us the same employment and retention flexibility as does the United States;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50" w:lineRule="exact"/>
        <w:rPr>
          <w:rFonts w:ascii="Arial" w:cs="Arial" w:eastAsia="Arial" w:hAnsi="Arial"/>
          <w:sz w:val="17"/>
          <w:szCs w:val="17"/>
          <w:color w:val="auto"/>
        </w:rPr>
      </w:pPr>
    </w:p>
    <w:p>
      <w:pPr>
        <w:ind w:left="1260" w:right="540" w:hanging="311"/>
        <w:spacing w:after="0" w:line="289" w:lineRule="auto"/>
        <w:tabs>
          <w:tab w:leader="none" w:pos="1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4" w:lineRule="exact"/>
        <w:rPr>
          <w:rFonts w:ascii="Arial" w:cs="Arial" w:eastAsia="Arial" w:hAnsi="Arial"/>
          <w:sz w:val="17"/>
          <w:szCs w:val="17"/>
          <w:color w:val="auto"/>
        </w:rPr>
      </w:pPr>
    </w:p>
    <w:p>
      <w:pPr>
        <w:ind w:left="1260" w:right="100" w:hanging="311"/>
        <w:spacing w:after="0" w:line="289" w:lineRule="auto"/>
        <w:tabs>
          <w:tab w:leader="none" w:pos="1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50" w:lineRule="exact"/>
        <w:rPr>
          <w:rFonts w:ascii="Arial" w:cs="Arial" w:eastAsia="Arial" w:hAnsi="Arial"/>
          <w:sz w:val="17"/>
          <w:szCs w:val="17"/>
          <w:color w:val="auto"/>
        </w:rPr>
      </w:pPr>
    </w:p>
    <w:p>
      <w:pPr>
        <w:ind w:left="1260" w:right="120" w:hanging="311"/>
        <w:spacing w:after="0" w:line="289" w:lineRule="auto"/>
        <w:tabs>
          <w:tab w:leader="none" w:pos="1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84" w:lineRule="exact"/>
        <w:rPr>
          <w:rFonts w:ascii="Arial" w:cs="Arial" w:eastAsia="Arial" w:hAnsi="Arial"/>
          <w:sz w:val="17"/>
          <w:szCs w:val="17"/>
          <w:color w:val="auto"/>
        </w:rPr>
      </w:pPr>
    </w:p>
    <w:p>
      <w:pPr>
        <w:ind w:left="1260" w:right="40" w:hanging="311"/>
        <w:spacing w:after="0" w:line="289" w:lineRule="auto"/>
        <w:tabs>
          <w:tab w:leader="none" w:pos="1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50" w:lineRule="exact"/>
        <w:rPr>
          <w:rFonts w:ascii="Arial" w:cs="Arial" w:eastAsia="Arial" w:hAnsi="Arial"/>
          <w:sz w:val="17"/>
          <w:szCs w:val="17"/>
          <w:color w:val="auto"/>
        </w:rPr>
      </w:pPr>
    </w:p>
    <w:p>
      <w:pPr>
        <w:ind w:left="1260" w:right="520" w:hanging="311"/>
        <w:spacing w:after="0" w:line="289" w:lineRule="auto"/>
        <w:tabs>
          <w:tab w:leader="none" w:pos="1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85"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Any violations could result in regulatory investigations and enforcement actions, fines, civil and criminal penalties, damages, injunctions, restrictions on our ability to conduct business, or reputational harm. If we are unable comply with these laws and regulations or manage the complexity of our global operations successfully, our business, results of operations, and financial condition could be adversely affected.</w:t>
      </w:r>
    </w:p>
    <w:p>
      <w:pPr>
        <w:spacing w:after="0" w:line="21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5" w:lineRule="exact"/>
        <w:rPr>
          <w:sz w:val="20"/>
          <w:szCs w:val="20"/>
          <w:color w:val="auto"/>
        </w:rPr>
      </w:pPr>
    </w:p>
    <w:p>
      <w:pPr>
        <w:ind w:right="20" w:firstLine="393"/>
        <w:spacing w:after="0" w:line="290"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60" w:firstLine="393"/>
        <w:spacing w:after="0" w:line="281" w:lineRule="auto"/>
        <w:rPr>
          <w:sz w:val="20"/>
          <w:szCs w:val="20"/>
          <w:color w:val="auto"/>
        </w:rPr>
      </w:pPr>
      <w:r>
        <w:rPr>
          <w:rFonts w:ascii="Arial" w:cs="Arial" w:eastAsia="Arial" w:hAnsi="Arial"/>
          <w:sz w:val="16"/>
          <w:szCs w:val="16"/>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7"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3"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85"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5"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We also depend on our ecosystem of developers to create applications that will integrate with our platform. As of December 31, 2021,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86"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We may not have the ability to control or prevent these risks. As a result, issues relating to these applications could adversely affect our business, brand, and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3" w:lineRule="exact"/>
        <w:rPr>
          <w:sz w:val="20"/>
          <w:szCs w:val="20"/>
          <w:color w:val="auto"/>
        </w:rPr>
      </w:pPr>
    </w:p>
    <w:p>
      <w:pPr>
        <w:ind w:right="20" w:firstLine="393"/>
        <w:spacing w:after="0" w:line="279"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50" w:lineRule="exact"/>
        <w:rPr>
          <w:sz w:val="20"/>
          <w:szCs w:val="20"/>
          <w:color w:val="auto"/>
        </w:rPr>
      </w:pPr>
    </w:p>
    <w:p>
      <w:pPr>
        <w:ind w:right="160" w:firstLine="393"/>
        <w:spacing w:after="0" w:line="281"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7" w:lineRule="exact"/>
        <w:rPr>
          <w:sz w:val="20"/>
          <w:szCs w:val="20"/>
          <w:color w:val="auto"/>
        </w:rPr>
      </w:pPr>
    </w:p>
    <w:p>
      <w:pPr>
        <w:jc w:val="both"/>
        <w:ind w:right="220" w:firstLine="393"/>
        <w:spacing w:after="0" w:line="273"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8" w:lineRule="exact"/>
        <w:rPr>
          <w:sz w:val="20"/>
          <w:szCs w:val="20"/>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50"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85"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2021, we acquired DocSend, a secure document sharing platform, to expand our content collaboration capabilities to include additional business critical workflows. Additionally, in the fourth fiscal quarter of 2021, we acquired Command E, a universal search and productivity company, to enhance our search capability. The pursuit of acquisitions may divert the attention of management and cause us to incur various expenses in identifying, investigating, and pursuing suitable acquisitions, whether or not they are consummated.</w:t>
      </w:r>
    </w:p>
    <w:p>
      <w:pPr>
        <w:spacing w:after="0" w:line="205" w:lineRule="exact"/>
        <w:rPr>
          <w:sz w:val="20"/>
          <w:szCs w:val="20"/>
          <w:color w:val="auto"/>
        </w:rPr>
      </w:pPr>
    </w:p>
    <w:p>
      <w:pPr>
        <w:ind w:right="240" w:firstLine="393"/>
        <w:spacing w:after="0" w:line="290" w:lineRule="auto"/>
        <w:rPr>
          <w:sz w:val="20"/>
          <w:szCs w:val="20"/>
          <w:color w:val="auto"/>
        </w:rPr>
      </w:pPr>
      <w:r>
        <w:rPr>
          <w:rFonts w:ascii="Arial" w:cs="Arial" w:eastAsia="Arial" w:hAnsi="Arial"/>
          <w:sz w:val="16"/>
          <w:szCs w:val="16"/>
          <w:color w:val="auto"/>
        </w:rPr>
        <w:t>We have limited experience making acquisitions. We may not be able to find suitable acquisition candidates and we may not be able to complete acquisitions on favorable terms, if at all, and even if we are able to identify suitable acquisition candidates, we may not be able to receive approval from the applicable competition authorities, or such target may be acquired by another company, including one of our competitors. If we do complete acquisitions, we may not ultimately strengthen our competitive position or achieve the anticipated benefits from such acquisitions, due to a number of factors, including:</w:t>
      </w:r>
    </w:p>
    <w:p>
      <w:pPr>
        <w:spacing w:after="0" w:line="186" w:lineRule="exact"/>
        <w:rPr>
          <w:sz w:val="20"/>
          <w:szCs w:val="20"/>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61" w:lineRule="exact"/>
        <w:rPr>
          <w:rFonts w:ascii="Arial" w:cs="Arial" w:eastAsia="Arial" w:hAnsi="Arial"/>
          <w:sz w:val="16"/>
          <w:szCs w:val="16"/>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50" w:lineRule="exact"/>
        <w:rPr>
          <w:rFonts w:ascii="Arial" w:cs="Arial" w:eastAsia="Arial" w:hAnsi="Arial"/>
          <w:sz w:val="17"/>
          <w:szCs w:val="17"/>
          <w:color w:val="auto"/>
        </w:rPr>
      </w:pPr>
    </w:p>
    <w:p>
      <w:pPr>
        <w:ind w:left="1260" w:right="300" w:hanging="311"/>
        <w:spacing w:after="0" w:line="289" w:lineRule="auto"/>
        <w:tabs>
          <w:tab w:leader="none" w:pos="1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50" w:lineRule="exact"/>
        <w:rPr>
          <w:sz w:val="20"/>
          <w:szCs w:val="20"/>
          <w:color w:val="auto"/>
        </w:rPr>
      </w:pPr>
    </w:p>
    <w:p>
      <w:pPr>
        <w:ind w:right="580" w:firstLine="393"/>
        <w:spacing w:after="0" w:line="273"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98" w:lineRule="exact"/>
        <w:rPr>
          <w:sz w:val="20"/>
          <w:szCs w:val="20"/>
          <w:color w:val="auto"/>
        </w:rPr>
      </w:pPr>
    </w:p>
    <w:p>
      <w:pPr>
        <w:ind w:right="60" w:firstLine="393"/>
        <w:spacing w:after="0" w:line="314"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73"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98"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2"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i w:val="1"/>
          <w:iCs w:val="1"/>
          <w:color w:val="auto"/>
        </w:rPr>
        <w:t>Our business may be significantly impacted by a change in general economic, political, and market conditions, including any resulting effect on consumer or business spending.</w:t>
      </w:r>
    </w:p>
    <w:p>
      <w:pPr>
        <w:spacing w:after="0" w:line="185" w:lineRule="exact"/>
        <w:rPr>
          <w:sz w:val="20"/>
          <w:szCs w:val="20"/>
          <w:color w:val="auto"/>
        </w:rPr>
      </w:pPr>
    </w:p>
    <w:p>
      <w:pPr>
        <w:ind w:right="300" w:firstLine="393"/>
        <w:spacing w:after="0" w:line="262" w:lineRule="auto"/>
        <w:rPr>
          <w:sz w:val="20"/>
          <w:szCs w:val="20"/>
          <w:color w:val="auto"/>
        </w:rPr>
      </w:pPr>
      <w:r>
        <w:rPr>
          <w:rFonts w:ascii="Arial" w:cs="Arial" w:eastAsia="Arial" w:hAnsi="Arial"/>
          <w:sz w:val="17"/>
          <w:szCs w:val="17"/>
          <w:color w:val="auto"/>
        </w:rPr>
        <w:t>Our business may be affected by general economic, political, and market conditions, including any resulting effect on spending by our business and consumer users. Some of our users may view a subscription to our platform as a discretionary purchase, and our paying users may reduce their discretionary spending on our platform during an economic downturn, especially in the event of a prolonged recessionary period. Concerns about inflation, geopolitical issues, the ongoing COVID-19 pandemic or a widespread economic slowdown (in the United States or internationally) have and could continue to lead to increased market volatility and economic uncertainty,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and future indebtedness may limit our operating flexibility or otherwise affect our business.</w:t>
      </w:r>
    </w:p>
    <w:p>
      <w:pPr>
        <w:spacing w:after="0" w:line="26" w:lineRule="exact"/>
        <w:rPr>
          <w:sz w:val="20"/>
          <w:szCs w:val="20"/>
          <w:color w:val="auto"/>
        </w:rPr>
      </w:pPr>
    </w:p>
    <w:p>
      <w:pPr>
        <w:ind w:right="160" w:firstLine="393"/>
        <w:spacing w:after="0" w:line="275" w:lineRule="auto"/>
        <w:rPr>
          <w:sz w:val="20"/>
          <w:szCs w:val="20"/>
          <w:color w:val="auto"/>
        </w:rPr>
      </w:pPr>
      <w:r>
        <w:rPr>
          <w:rFonts w:ascii="Arial" w:cs="Arial" w:eastAsia="Arial" w:hAnsi="Arial"/>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96"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addition, such current and future indebtedness could:</w:t>
      </w:r>
    </w:p>
    <w:p>
      <w:pPr>
        <w:spacing w:after="0" w:line="26" w:lineRule="exact"/>
        <w:rPr>
          <w:sz w:val="20"/>
          <w:szCs w:val="20"/>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it more difficult for us to satisfy our debt obligations, including the 2026 Notes and the 2028 Notes;</w:t>
      </w:r>
    </w:p>
    <w:p>
      <w:pPr>
        <w:spacing w:after="0" w:line="238"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260" w:right="820" w:hanging="311"/>
        <w:spacing w:after="0" w:line="289" w:lineRule="auto"/>
        <w:tabs>
          <w:tab w:leader="none" w:pos="1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250" w:lineRule="exact"/>
        <w:rPr>
          <w:rFonts w:ascii="Arial" w:cs="Arial" w:eastAsia="Arial" w:hAnsi="Arial"/>
          <w:sz w:val="17"/>
          <w:szCs w:val="17"/>
          <w:color w:val="auto"/>
        </w:rPr>
      </w:pPr>
    </w:p>
    <w:p>
      <w:pPr>
        <w:ind w:left="1260" w:right="280" w:hanging="311"/>
        <w:spacing w:after="0" w:line="289" w:lineRule="auto"/>
        <w:tabs>
          <w:tab w:leader="none" w:pos="1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 our current and future operations, make it more difficult to successfully execute our business strategy, or restrict us from exploiting business opportunities;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indebtedness or are not subject to restrictive covenants;</w:t>
      </w:r>
    </w:p>
    <w:p>
      <w:pPr>
        <w:spacing w:after="0" w:line="281" w:lineRule="exact"/>
        <w:rPr>
          <w:rFonts w:ascii="Arial" w:cs="Arial" w:eastAsia="Arial" w:hAnsi="Arial"/>
          <w:sz w:val="16"/>
          <w:szCs w:val="16"/>
          <w:color w:val="auto"/>
        </w:rPr>
      </w:pPr>
    </w:p>
    <w:p>
      <w:pPr>
        <w:ind w:left="1260" w:hanging="311"/>
        <w:spacing w:after="0"/>
        <w:tabs>
          <w:tab w:leader="none" w:pos="1260" w:val="left"/>
        </w:tabs>
        <w:numPr>
          <w:ilvl w:val="0"/>
          <w:numId w:val="20"/>
        </w:numPr>
        <w:rPr>
          <w:rFonts w:ascii="Arial" w:cs="Arial" w:eastAsia="Arial" w:hAnsi="Arial"/>
          <w:sz w:val="21"/>
          <w:szCs w:val="21"/>
          <w:color w:val="auto"/>
        </w:rPr>
      </w:pPr>
      <w:r>
        <w:rPr>
          <w:rFonts w:ascii="Arial" w:cs="Arial" w:eastAsia="Arial" w:hAnsi="Arial"/>
          <w:sz w:val="17"/>
          <w:szCs w:val="17"/>
          <w:color w:val="auto"/>
        </w:rPr>
        <w:t>restrict or otherwise impact the pace and timing of repurchases under our stock repurchase program; and</w:t>
      </w:r>
    </w:p>
    <w:p>
      <w:pPr>
        <w:spacing w:after="0" w:line="224" w:lineRule="exact"/>
        <w:rPr>
          <w:rFonts w:ascii="Arial" w:cs="Arial" w:eastAsia="Arial" w:hAnsi="Arial"/>
          <w:sz w:val="21"/>
          <w:szCs w:val="21"/>
          <w:color w:val="auto"/>
        </w:rPr>
      </w:pPr>
    </w:p>
    <w:p>
      <w:pPr>
        <w:ind w:left="1260" w:hanging="311"/>
        <w:spacing w:after="0" w:line="289" w:lineRule="auto"/>
        <w:tabs>
          <w:tab w:leader="none" w:pos="1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 our availability to borrow additional funds for working capital, capital expenditures, acquisitions, debt service requirements, execution of our business strategy, or other general purposes.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Any of the foregoing could have a material adverse effect on our business, cash flows, results of operations, and financial condition.</w:t>
      </w:r>
    </w:p>
    <w:p>
      <w:pPr>
        <w:spacing w:after="0" w:line="250"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5"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2021, we had an aggregate of $1,342.0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6" w:lineRule="exact"/>
        <w:rPr>
          <w:sz w:val="20"/>
          <w:szCs w:val="20"/>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50" w:lineRule="exact"/>
        <w:rPr>
          <w:sz w:val="20"/>
          <w:szCs w:val="20"/>
          <w:color w:val="auto"/>
        </w:rPr>
      </w:pPr>
    </w:p>
    <w:p>
      <w:pPr>
        <w:ind w:right="260" w:firstLine="393"/>
        <w:spacing w:after="0" w:line="265"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Risks Related to Our Financial Performance or Results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50"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We have experienced significant revenue growth in prior periods. However, 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50" w:lineRule="exact"/>
        <w:rPr>
          <w:sz w:val="20"/>
          <w:szCs w:val="20"/>
          <w:color w:val="auto"/>
        </w:rPr>
      </w:pPr>
    </w:p>
    <w:p>
      <w:pPr>
        <w:ind w:firstLine="393"/>
        <w:spacing w:after="0" w:line="276" w:lineRule="auto"/>
        <w:rPr>
          <w:sz w:val="20"/>
          <w:szCs w:val="20"/>
          <w:color w:val="auto"/>
        </w:rPr>
      </w:pPr>
      <w:r>
        <w:rPr>
          <w:rFonts w:ascii="Arial" w:cs="Arial" w:eastAsia="Arial" w:hAnsi="Arial"/>
          <w:sz w:val="16"/>
          <w:szCs w:val="16"/>
          <w:color w:val="auto"/>
        </w:rPr>
        <w:t>We incurred net losses on an annual basis from our inception until 2020. We incurred net losses of $256.3 million and $52.7 million in the years ended December 31, 2020 and 2019, respectively. While we have been profitable on a GAAP basis in prior fiscal quarters, 2021 was our first profitable full fiscal year, however we may not achieve or maintain profitability in future periods. We generated net income of $335.8 million in the year ended December 31, 2021 and we had an accumulated deficit of $2,739.4 million as of December 31, 2021. As we strive to grow our business, expenses may increase,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01"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85" w:lineRule="exact"/>
        <w:rPr>
          <w:sz w:val="20"/>
          <w:szCs w:val="20"/>
          <w:color w:val="auto"/>
        </w:rPr>
      </w:pPr>
    </w:p>
    <w:p>
      <w:pPr>
        <w:ind w:right="60" w:firstLine="393"/>
        <w:spacing w:after="0" w:line="301" w:lineRule="auto"/>
        <w:rPr>
          <w:sz w:val="20"/>
          <w:szCs w:val="20"/>
          <w:color w:val="auto"/>
        </w:rPr>
      </w:pPr>
      <w:r>
        <w:rPr>
          <w:rFonts w:ascii="Arial" w:cs="Arial" w:eastAsia="Arial" w:hAnsi="Arial"/>
          <w:sz w:val="15"/>
          <w:szCs w:val="15"/>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211" w:lineRule="exact"/>
        <w:rPr>
          <w:sz w:val="20"/>
          <w:szCs w:val="20"/>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50" w:lineRule="exact"/>
        <w:rPr>
          <w:rFonts w:ascii="Arial" w:cs="Arial" w:eastAsia="Arial" w:hAnsi="Arial"/>
          <w:sz w:val="17"/>
          <w:szCs w:val="17"/>
          <w:color w:val="auto"/>
        </w:rPr>
      </w:pPr>
    </w:p>
    <w:p>
      <w:pPr>
        <w:ind w:left="1260" w:right="80" w:hanging="311"/>
        <w:spacing w:after="0" w:line="289" w:lineRule="auto"/>
        <w:tabs>
          <w:tab w:leader="none" w:pos="1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50" w:lineRule="exact"/>
        <w:rPr>
          <w:rFonts w:ascii="Arial" w:cs="Arial" w:eastAsia="Arial" w:hAnsi="Arial"/>
          <w:sz w:val="17"/>
          <w:szCs w:val="17"/>
          <w:color w:val="auto"/>
        </w:rPr>
      </w:pPr>
    </w:p>
    <w:p>
      <w:pPr>
        <w:ind w:left="1260" w:right="80" w:hanging="311"/>
        <w:spacing w:after="0" w:line="322" w:lineRule="auto"/>
        <w:tabs>
          <w:tab w:leader="none" w:pos="1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61" w:lineRule="exact"/>
        <w:rPr>
          <w:rFonts w:ascii="Arial" w:cs="Arial" w:eastAsia="Arial" w:hAnsi="Arial"/>
          <w:sz w:val="16"/>
          <w:szCs w:val="16"/>
          <w:color w:val="auto"/>
        </w:rPr>
      </w:pPr>
    </w:p>
    <w:p>
      <w:pPr>
        <w:ind w:left="1260" w:right="520" w:hanging="311"/>
        <w:spacing w:after="0" w:line="322" w:lineRule="auto"/>
        <w:tabs>
          <w:tab w:leader="none" w:pos="1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reserves or other non-cash credits or charges, such as the impairment charges related to certain of our unused office space in connection with our shift to a Virtual First work model and releases of deferred tax asset valuation allowances; and</w:t>
      </w:r>
    </w:p>
    <w:p>
      <w:pPr>
        <w:spacing w:after="0" w:line="161" w:lineRule="exact"/>
        <w:rPr>
          <w:rFonts w:ascii="Arial" w:cs="Arial" w:eastAsia="Arial" w:hAnsi="Arial"/>
          <w:sz w:val="16"/>
          <w:szCs w:val="16"/>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Virtual First work model.</w:t>
      </w:r>
    </w:p>
    <w:p>
      <w:pPr>
        <w:spacing w:after="0" w:line="250"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5" w:lineRule="exact"/>
        <w:rPr>
          <w:sz w:val="20"/>
          <w:szCs w:val="20"/>
          <w:color w:val="auto"/>
        </w:rPr>
      </w:pPr>
    </w:p>
    <w:p>
      <w:pPr>
        <w:ind w:right="20" w:firstLine="393"/>
        <w:spacing w:after="0" w:line="261"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3" w:lineRule="exact"/>
        <w:rPr>
          <w:sz w:val="20"/>
          <w:szCs w:val="20"/>
          <w:color w:val="auto"/>
        </w:rPr>
      </w:pPr>
    </w:p>
    <w:p>
      <w:pPr>
        <w:ind w:right="60" w:firstLine="393"/>
        <w:spacing w:after="0" w:line="261" w:lineRule="auto"/>
        <w:rPr>
          <w:sz w:val="20"/>
          <w:szCs w:val="20"/>
          <w:color w:val="auto"/>
        </w:rPr>
      </w:pPr>
      <w:r>
        <w:rPr>
          <w:rFonts w:ascii="Arial" w:cs="Arial" w:eastAsia="Arial" w:hAnsi="Arial"/>
          <w:sz w:val="17"/>
          <w:szCs w:val="17"/>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2021, 30%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convertible note hedge transactions.</w:t>
      </w:r>
    </w:p>
    <w:p>
      <w:pPr>
        <w:spacing w:after="0" w:line="250" w:lineRule="exact"/>
        <w:rPr>
          <w:sz w:val="20"/>
          <w:szCs w:val="20"/>
          <w:color w:val="auto"/>
        </w:rPr>
      </w:pPr>
    </w:p>
    <w:p>
      <w:pPr>
        <w:ind w:right="60" w:firstLine="393"/>
        <w:spacing w:after="0" w:line="280" w:lineRule="auto"/>
        <w:rPr>
          <w:sz w:val="20"/>
          <w:szCs w:val="20"/>
          <w:color w:val="auto"/>
        </w:rPr>
      </w:pPr>
      <w:r>
        <w:rPr>
          <w:rFonts w:ascii="Arial" w:cs="Arial" w:eastAsia="Arial" w:hAnsi="Arial"/>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50"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As of December 31, 2021, we had $623.8 million of federal, $352.1 million of state, and $310.1 million of foreign net operating loss carryforwards available to reduce future taxable income. Of our federal net operating loss carryforwards, $5.1 million will begin to expire in 2032 and $618.7 million will carryforward indefinitely, while state net operating losses begin to expire in 2029. As of December 31, 2021, we had research credit carryforwards of $246.1 million and $130.0 million for federal and state income tax purposes. The federal credit carryforwards will begin to expire in 2031. The state research credits have no expiration date. We also had $3.6 million of state enterprise zone credit carryforwards as of December 31, 2021, which will begin to expire in 2023 and $0.6 million of foreign tax credit carryforwards as of December 31, 2021,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3"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5" w:lineRule="exact"/>
        <w:rPr>
          <w:sz w:val="20"/>
          <w:szCs w:val="20"/>
          <w:color w:val="auto"/>
        </w:rPr>
      </w:pPr>
    </w:p>
    <w:p>
      <w:pPr>
        <w:ind w:right="280" w:firstLine="393"/>
        <w:spacing w:after="0" w:line="268"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substantial tax liabilities for past sales, create significant administrative burdens for us, discourage users from purchasing our platform, or otherwise harm our business, results of operations, and financial condition.</w:t>
      </w:r>
    </w:p>
    <w:p>
      <w:pPr>
        <w:spacing w:after="0" w:line="185"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85" w:lineRule="exact"/>
        <w:rPr>
          <w:sz w:val="20"/>
          <w:szCs w:val="20"/>
          <w:color w:val="auto"/>
        </w:rPr>
      </w:pPr>
    </w:p>
    <w:p>
      <w:pPr>
        <w:ind w:right="260" w:firstLine="393"/>
        <w:spacing w:after="0" w:line="296" w:lineRule="auto"/>
        <w:rPr>
          <w:sz w:val="20"/>
          <w:szCs w:val="20"/>
          <w:color w:val="auto"/>
        </w:rPr>
      </w:pPr>
      <w:r>
        <w:rPr>
          <w:rFonts w:ascii="Arial" w:cs="Arial" w:eastAsia="Arial" w:hAnsi="Arial"/>
          <w:sz w:val="15"/>
          <w:szCs w:val="15"/>
          <w:color w:val="auto"/>
        </w:rPr>
        <w:t>On January 1, 2022, a provision of the Tax Cuts and Jobs Act of 2017 (“TCJA”) went into effect which eliminates the option to deduct research and development costs in the year incurred and instead requires taxpayers to amortize such costs over five years and 15 years for domestic and foreign costs, respectively. Congress has proposed tax legislation to delay the effective date of this change to later years, but it is uncertain whether the proposed delay will ultimately be enacted into law. If no new legislation is passed, the provision is expected to adversely impact cash flows from operations beginning in 2022.</w:t>
      </w:r>
    </w:p>
    <w:p>
      <w:pPr>
        <w:spacing w:after="0" w:line="172" w:lineRule="exact"/>
        <w:rPr>
          <w:sz w:val="20"/>
          <w:szCs w:val="20"/>
          <w:color w:val="auto"/>
        </w:rPr>
      </w:pPr>
    </w:p>
    <w:p>
      <w:pPr>
        <w:ind w:firstLine="380"/>
        <w:spacing w:after="0" w:line="290" w:lineRule="auto"/>
        <w:rPr>
          <w:sz w:val="20"/>
          <w:szCs w:val="20"/>
          <w:color w:val="auto"/>
        </w:rPr>
      </w:pPr>
      <w:r>
        <w:rPr>
          <w:rFonts w:ascii="Arial" w:cs="Arial" w:eastAsia="Arial" w:hAnsi="Arial"/>
          <w:sz w:val="16"/>
          <w:szCs w:val="16"/>
          <w:color w:val="auto"/>
        </w:rPr>
        <w:t>In October 2021, an update to the Build Back Better Act (the “Bill”) was released. The Bill, as revised, includes, but is not limited to, (1) reducing benefits included in the Global Intangible Low-Taxed Income (“GILTI”) regime and Foreign-Derived Intangible Income (“FDII”) deductions, (2) amending the Base Erosion and Anti-Abuse Tax (“BEAT”) tax rates from 10% up to 18% through 2025, and (3) delaying the capitalization of research expenditures to take effect in 2022. If enacted, certain proposed changes could have an adverse impact on our business, results of operations, financial condition and cash flow.</w:t>
      </w:r>
    </w:p>
    <w:p>
      <w:pPr>
        <w:spacing w:after="0" w:line="186"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On June 5, 2021 the G7 Finance Ministers announced an agreement in which the participating countries committed to new taxing rights that allow countries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The meeting marked an early test of whether the US position on the OECD's Inclusive Framework “Taxation of the Digital Economy” project would provide momentum to finding a common base for agreement. On December 8, 2021, the OECD released Pillar Two model rules for implementation of a 15% global minimum tax, after previously announcing in October 2021 that 137 member jurisdictions have politically committed to the potential changes to the international corporate tax system.</w:t>
      </w:r>
    </w:p>
    <w:p>
      <w:pPr>
        <w:spacing w:after="0" w:line="211"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In 2018, the European Commission (“EC”) introduced proposals addressing taxation of digital businesses operating within the European Union (“EU”) but has not reached an agreement on a sales tax with a scope limited to digital advertising services. As a result, certain countries, including the UK, Italy and France, unilaterally moved to introduce their own digital service tax. In January 2021, the EC released an Inception Impact Assessment to inform stakeholders about proposed legislative changes to the taxation of the digital economy. It is intended that the new initiative will help mitigate potential distortions and fragmentation of tax rules arising in the EU single market by designing a single set of rules which is consistent with the Digital Services Act package and the EC's digital strategy. In June 2021, as part of the OECD-IF's Pillar Two, there was an agreement to support efforts through the G20/OECD-IF and provide for appropriate coordination between the application of the new international tax rules and the removal of all digital services taxes, and other similar measures, on all companies.</w:t>
      </w:r>
    </w:p>
    <w:p>
      <w:pPr>
        <w:spacing w:after="0" w:line="207" w:lineRule="exact"/>
        <w:rPr>
          <w:sz w:val="20"/>
          <w:szCs w:val="20"/>
          <w:color w:val="auto"/>
        </w:rPr>
      </w:pPr>
    </w:p>
    <w:p>
      <w:pPr>
        <w:ind w:right="140" w:firstLine="393"/>
        <w:spacing w:after="0" w:line="264" w:lineRule="auto"/>
        <w:rPr>
          <w:sz w:val="20"/>
          <w:szCs w:val="20"/>
          <w:color w:val="auto"/>
        </w:rPr>
      </w:pPr>
      <w:r>
        <w:rPr>
          <w:rFonts w:ascii="Arial" w:cs="Arial" w:eastAsia="Arial" w:hAnsi="Arial"/>
          <w:sz w:val="17"/>
          <w:szCs w:val="17"/>
          <w:color w:val="auto"/>
        </w:rPr>
        <w:t>In October 2021, an agreement was reached between the U.S. and a number of countries (France, Spain, Italy, Austria and the UK, and followed subsequently by Turkey and India) that unilateral measures introduced would be “rolled-back” once the OECD-IF led Pillar I comes into effect and that no further unilateral measures would be introduced by these countries. Additionally, the agreement reached by the parties stated that to the extent that unilateral measures generate taxable sums during an “interim period” (as defined under the agreements) that exceed the taxable sums that would be generated by Pillar I, any excess tax can be credited against the Pillar I Amount A tax when that comes into effect. The concept of an EU Digital Levy was fully dropped in December 2021 by the EU Commission.</w:t>
      </w:r>
    </w:p>
    <w:p>
      <w:pPr>
        <w:spacing w:after="0" w:line="205" w:lineRule="exact"/>
        <w:rPr>
          <w:sz w:val="20"/>
          <w:szCs w:val="20"/>
          <w:color w:val="auto"/>
        </w:rPr>
      </w:pPr>
    </w:p>
    <w:p>
      <w:pPr>
        <w:ind w:right="80" w:firstLine="393"/>
        <w:spacing w:after="0" w:line="273" w:lineRule="auto"/>
        <w:rPr>
          <w:sz w:val="20"/>
          <w:szCs w:val="20"/>
          <w:color w:val="auto"/>
        </w:rPr>
      </w:pPr>
      <w:r>
        <w:rPr>
          <w:rFonts w:ascii="Arial" w:cs="Arial" w:eastAsia="Arial" w:hAnsi="Arial"/>
          <w:sz w:val="17"/>
          <w:szCs w:val="17"/>
          <w:color w:val="auto"/>
        </w:rPr>
        <w:t>Due to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98" w:lineRule="exact"/>
        <w:rPr>
          <w:sz w:val="20"/>
          <w:szCs w:val="20"/>
          <w:color w:val="auto"/>
        </w:rPr>
      </w:pPr>
    </w:p>
    <w:p>
      <w:pPr>
        <w:ind w:right="300"/>
        <w:spacing w:after="0" w:line="360"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Annual Report on Form 10-K, which could prove to be inaccurate, and any real or perceived inaccuracies may harm our reputation and negatively affect our business.</w:t>
      </w:r>
    </w:p>
    <w:p>
      <w:pPr>
        <w:spacing w:after="0" w:line="138"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Legal and Regulatory Compliance</w:t>
      </w:r>
    </w:p>
    <w:p>
      <w:pPr>
        <w:spacing w:after="0" w:line="256" w:lineRule="exact"/>
        <w:rPr>
          <w:sz w:val="20"/>
          <w:szCs w:val="20"/>
          <w:color w:val="auto"/>
        </w:rPr>
      </w:pPr>
    </w:p>
    <w:p>
      <w:pPr>
        <w:ind w:right="280"/>
        <w:spacing w:after="0" w:line="360"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8" w:lineRule="exact"/>
        <w:rPr>
          <w:sz w:val="20"/>
          <w:szCs w:val="20"/>
          <w:color w:val="auto"/>
        </w:rPr>
      </w:pPr>
    </w:p>
    <w:p>
      <w:pPr>
        <w:ind w:right="80" w:firstLine="393"/>
        <w:spacing w:after="0" w:line="262"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11"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11" w:lineRule="exact"/>
        <w:rPr>
          <w:sz w:val="20"/>
          <w:szCs w:val="20"/>
          <w:color w:val="auto"/>
        </w:rPr>
      </w:pPr>
    </w:p>
    <w:p>
      <w:pPr>
        <w:ind w:right="400" w:firstLine="393"/>
        <w:spacing w:after="0" w:line="326" w:lineRule="auto"/>
        <w:rPr>
          <w:sz w:val="20"/>
          <w:szCs w:val="20"/>
          <w:color w:val="auto"/>
        </w:rPr>
      </w:pPr>
      <w:r>
        <w:rPr>
          <w:rFonts w:ascii="Arial" w:cs="Arial" w:eastAsia="Arial" w:hAnsi="Arial"/>
          <w:sz w:val="15"/>
          <w:szCs w:val="15"/>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63" w:lineRule="exact"/>
        <w:rPr>
          <w:sz w:val="20"/>
          <w:szCs w:val="20"/>
          <w:color w:val="auto"/>
        </w:rPr>
      </w:pPr>
    </w:p>
    <w:p>
      <w:pPr>
        <w:ind w:right="80" w:firstLine="393"/>
        <w:spacing w:after="0" w:line="286"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5" w:lineRule="exact"/>
        <w:rPr>
          <w:sz w:val="20"/>
          <w:szCs w:val="20"/>
          <w:color w:val="auto"/>
        </w:rPr>
      </w:pPr>
    </w:p>
    <w:p>
      <w:pPr>
        <w:ind w:right="80" w:firstLine="393"/>
        <w:spacing w:after="0" w:line="262" w:lineRule="auto"/>
        <w:rPr>
          <w:sz w:val="20"/>
          <w:szCs w:val="20"/>
          <w:color w:val="auto"/>
        </w:rPr>
      </w:pPr>
      <w:r>
        <w:rPr>
          <w:rFonts w:ascii="Arial" w:cs="Arial" w:eastAsia="Arial" w:hAnsi="Arial"/>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violation of U.S. sanctions or export control laws, it could result in substantial fines and penalties for us and for the individuals working for us, particularly in light of warning letters we previously received from OFAC.</w:t>
      </w:r>
    </w:p>
    <w:p>
      <w:pPr>
        <w:spacing w:after="0" w:line="185"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7"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b w:val="1"/>
          <w:bCs w:val="1"/>
          <w:i w:val="1"/>
          <w:iCs w:val="1"/>
          <w:color w:val="auto"/>
        </w:rPr>
        <w:t>Our actual or perceived failure to comply with privacy, data protection, and information security laws, regulations, and obligations could harm our business.</w:t>
      </w:r>
    </w:p>
    <w:p>
      <w:pPr>
        <w:spacing w:after="0" w:line="185"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7" w:lineRule="exact"/>
        <w:rPr>
          <w:sz w:val="20"/>
          <w:szCs w:val="20"/>
          <w:color w:val="auto"/>
        </w:rPr>
      </w:pPr>
    </w:p>
    <w:p>
      <w:pPr>
        <w:jc w:val="both"/>
        <w:ind w:right="160" w:firstLine="393"/>
        <w:spacing w:after="0" w:line="298"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spacing w:after="0" w:line="180"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("CJEU") invalidated Decision 2016/1250 on the adequacy of the protection provided by the U.S.-EU Privacy Shield Framework, and on September 8, 2020, the Swiss Federal Data Protection and Information Commissioner announced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 these locations to the United States, and we are closely monitoring regulatory developments in this area. In its decision invalidating the U.S.-EU Privacy Shield Framework, the CJEU also imposed additional obligations on companies relying on standard contractual clauses approved by the European Commission (“SCCs”) to transfer personal data. The CJEU decision may result in European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3"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Additionally, several states in the U.S. have begun enacting new data privacy laws. For example, CCPA, which affords consumers expanded privacy protections, went into effect on January 1, 2020. However, certain aspects of the CCPA and its enforcement remain uncertain. Additionally, a new privacy law, the California Privacy Rights Act ("CPRA"), which will go into effect on January 1, 2023, significantly modified the CCPA, potentially resulting in further uncertainty and requiring us to incur additional costs and expenses. The effects of the CCPA and the CPRA remain far-reaching, and depending on final regulatory guidance and other related developments, potentially may require us to modify our data processing practices and policies and to incur substantial costs and expenses in an effort to comply. The enactment of the CCPA has prompted similar legislative developments in other states, such as Virginia, which in March 2021 enacted a Consumer Data Protection Act that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will go into effect January 1, 2023, and Colorado, which in June 2021 enacted a Colorado Privacy Act that will go into effect July 1, 2023. Similar laws are being considered by other state legislatures. These developments create the potential for a patchwork of overlapping but different state laws.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89"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w:t>
      </w:r>
    </w:p>
    <w:p>
      <w:pPr>
        <w:spacing w:after="0" w:line="211"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industry-specific regulations and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07"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50"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2" w:lineRule="exact"/>
        <w:rPr>
          <w:sz w:val="20"/>
          <w:szCs w:val="20"/>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393"/>
        <w:spacing w:after="0" w:line="280"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7" w:lineRule="exact"/>
        <w:rPr>
          <w:sz w:val="20"/>
          <w:szCs w:val="20"/>
          <w:color w:val="auto"/>
        </w:rPr>
      </w:pPr>
    </w:p>
    <w:p>
      <w:pPr>
        <w:ind w:right="40" w:firstLine="393"/>
        <w:spacing w:after="0" w:line="28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3" w:lineRule="exact"/>
        <w:rPr>
          <w:sz w:val="20"/>
          <w:szCs w:val="20"/>
          <w:color w:val="auto"/>
        </w:rPr>
      </w:pPr>
    </w:p>
    <w:p>
      <w:pPr>
        <w:ind w:right="440" w:firstLine="393"/>
        <w:spacing w:after="0" w:line="289"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5"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50" w:lineRule="exact"/>
        <w:rPr>
          <w:sz w:val="20"/>
          <w:szCs w:val="20"/>
          <w:color w:val="auto"/>
        </w:rPr>
      </w:pPr>
    </w:p>
    <w:p>
      <w:pPr>
        <w:ind w:right="20" w:firstLine="315"/>
        <w:spacing w:after="0" w:line="279" w:lineRule="auto"/>
        <w:rPr>
          <w:sz w:val="20"/>
          <w:szCs w:val="20"/>
          <w:color w:val="auto"/>
        </w:rPr>
      </w:pPr>
      <w:r>
        <w:rPr>
          <w:rFonts w:ascii="Arial" w:cs="Arial" w:eastAsia="Arial" w:hAnsi="Arial"/>
          <w:sz w:val="16"/>
          <w:szCs w:val="16"/>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1,400 issued patents and more than 350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50" w:lineRule="exact"/>
        <w:rPr>
          <w:sz w:val="20"/>
          <w:szCs w:val="20"/>
          <w:color w:val="auto"/>
        </w:rPr>
      </w:pPr>
    </w:p>
    <w:p>
      <w:pPr>
        <w:ind w:right="340" w:firstLine="393"/>
        <w:spacing w:after="0" w:line="289"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85" w:lineRule="exact"/>
        <w:rPr>
          <w:sz w:val="20"/>
          <w:szCs w:val="20"/>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3" w:lineRule="exact"/>
        <w:rPr>
          <w:rFonts w:ascii="Arial" w:cs="Arial" w:eastAsia="Arial" w:hAnsi="Arial"/>
          <w:sz w:val="15"/>
          <w:szCs w:val="15"/>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50" w:lineRule="exact"/>
        <w:rPr>
          <w:rFonts w:ascii="Arial" w:cs="Arial" w:eastAsia="Arial" w:hAnsi="Arial"/>
          <w:sz w:val="17"/>
          <w:szCs w:val="17"/>
          <w:color w:val="auto"/>
        </w:rPr>
      </w:pPr>
    </w:p>
    <w:p>
      <w:pPr>
        <w:ind w:left="1260" w:right="60" w:hanging="311"/>
        <w:spacing w:after="0" w:line="289" w:lineRule="auto"/>
        <w:tabs>
          <w:tab w:leader="none" w:pos="1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anticipated changes in our key metrics;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perceived breaches of, or failures related to, privacy, data protection or data security;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right="60" w:hanging="311"/>
        <w:spacing w:after="0" w:line="273" w:lineRule="auto"/>
        <w:tabs>
          <w:tab w:leader="none" w:pos="1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98" w:lineRule="exact"/>
        <w:rPr>
          <w:sz w:val="20"/>
          <w:szCs w:val="20"/>
          <w:color w:val="auto"/>
        </w:rPr>
      </w:pPr>
    </w:p>
    <w:p>
      <w:pPr>
        <w:ind w:firstLine="393"/>
        <w:spacing w:after="0" w:line="268" w:lineRule="auto"/>
        <w:rPr>
          <w:sz w:val="20"/>
          <w:szCs w:val="20"/>
          <w:color w:val="auto"/>
        </w:rPr>
      </w:pPr>
      <w:r>
        <w:rPr>
          <w:rFonts w:ascii="Arial" w:cs="Arial" w:eastAsia="Arial" w:hAnsi="Arial"/>
          <w:sz w:val="16"/>
          <w:szCs w:val="16"/>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9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85" w:lineRule="exact"/>
        <w:rPr>
          <w:sz w:val="20"/>
          <w:szCs w:val="20"/>
          <w:color w:val="auto"/>
        </w:rPr>
      </w:pPr>
    </w:p>
    <w:p>
      <w:pPr>
        <w:ind w:right="20" w:firstLine="393"/>
        <w:spacing w:after="0" w:line="260" w:lineRule="auto"/>
        <w:rPr>
          <w:sz w:val="20"/>
          <w:szCs w:val="20"/>
          <w:color w:val="auto"/>
        </w:rPr>
      </w:pPr>
      <w:r>
        <w:rPr>
          <w:rFonts w:ascii="Arial" w:cs="Arial" w:eastAsia="Arial" w:hAnsi="Arial"/>
          <w:sz w:val="17"/>
          <w:szCs w:val="17"/>
          <w:color w:val="auto"/>
        </w:rPr>
        <w:t>Our Class A common stock has one vote per share, our Class B common stock has ten votes per share, and our Class C common stock has no voting rights, except as otherwise required by law. As of December 31, 2021, our directors, executive officers and holders of more than 5% of our common stock, and their respective affiliates, held in the aggregate 78.9% of the voting power of our capital stock, with Mr. Houston holding approximately 72.8%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213"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211" w:lineRule="exact"/>
        <w:rPr>
          <w:sz w:val="20"/>
          <w:szCs w:val="20"/>
          <w:color w:val="auto"/>
        </w:rPr>
      </w:pPr>
    </w:p>
    <w:p>
      <w:pPr>
        <w:jc w:val="both"/>
        <w:ind w:right="220" w:firstLine="393"/>
        <w:spacing w:after="0" w:line="326"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3"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50" w:lineRule="exact"/>
        <w:rPr>
          <w:sz w:val="20"/>
          <w:szCs w:val="20"/>
          <w:color w:val="auto"/>
        </w:rPr>
      </w:pPr>
    </w:p>
    <w:p>
      <w:pPr>
        <w:ind w:right="220" w:firstLine="393"/>
        <w:spacing w:after="0" w:line="289" w:lineRule="auto"/>
        <w:rPr>
          <w:sz w:val="20"/>
          <w:szCs w:val="20"/>
          <w:color w:val="auto"/>
        </w:rPr>
      </w:pPr>
      <w:r>
        <w:rPr>
          <w:rFonts w:ascii="Arial" w:cs="Arial" w:eastAsia="Arial" w:hAnsi="Arial"/>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98" w:lineRule="exact"/>
        <w:rPr>
          <w:sz w:val="20"/>
          <w:szCs w:val="20"/>
          <w:color w:val="auto"/>
        </w:rPr>
      </w:pPr>
    </w:p>
    <w:p>
      <w:pPr>
        <w:ind w:right="280" w:firstLine="393"/>
        <w:spacing w:after="0" w:line="322"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2"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85" w:lineRule="exact"/>
        <w:rPr>
          <w:sz w:val="20"/>
          <w:szCs w:val="20"/>
          <w:color w:val="auto"/>
        </w:rPr>
      </w:pPr>
    </w:p>
    <w:p>
      <w:pPr>
        <w:ind w:right="60" w:firstLine="393"/>
        <w:spacing w:after="0" w:line="283" w:lineRule="auto"/>
        <w:rPr>
          <w:sz w:val="20"/>
          <w:szCs w:val="20"/>
          <w:color w:val="auto"/>
        </w:rPr>
      </w:pPr>
      <w:r>
        <w:rPr>
          <w:rFonts w:ascii="Arial" w:cs="Arial" w:eastAsia="Arial" w:hAnsi="Arial"/>
          <w:sz w:val="16"/>
          <w:szCs w:val="16"/>
          <w:color w:val="auto"/>
        </w:rPr>
        <w:t>If the 2026 Notes or the 2028 Notes are converted by holders of such series, we have the ability under the applicable indenture to deliver cash, common stock, or any combination of cash or common stock, at our election upon conversion of the applicable series of convertible notes. If we elect to deliver common stock upon conversion of the 2026 Notes or the 2028 Notes,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 Anticipated future conversions of the 2026 Notes or 2028 Notes into shares of our Class A common stock could depress the price of our Class A common stock.</w:t>
      </w:r>
    </w:p>
    <w:p>
      <w:pPr>
        <w:spacing w:after="0" w:line="193"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85"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6" w:lineRule="exact"/>
        <w:rPr>
          <w:sz w:val="20"/>
          <w:szCs w:val="20"/>
          <w:color w:val="auto"/>
        </w:rPr>
      </w:pPr>
    </w:p>
    <w:p>
      <w:pPr>
        <w:ind w:left="1260" w:right="620" w:hanging="311"/>
        <w:spacing w:after="0" w:line="289" w:lineRule="auto"/>
        <w:tabs>
          <w:tab w:leader="none" w:pos="1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84" w:lineRule="exact"/>
        <w:rPr>
          <w:rFonts w:ascii="Arial" w:cs="Arial" w:eastAsia="Arial" w:hAnsi="Arial"/>
          <w:sz w:val="17"/>
          <w:szCs w:val="17"/>
          <w:color w:val="auto"/>
        </w:rPr>
      </w:pPr>
    </w:p>
    <w:p>
      <w:pPr>
        <w:ind w:left="1260" w:hanging="311"/>
        <w:spacing w:after="0" w:line="273" w:lineRule="auto"/>
        <w:tabs>
          <w:tab w:leader="none" w:pos="1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8" w:lineRule="exact"/>
        <w:rPr>
          <w:rFonts w:ascii="Arial" w:cs="Arial" w:eastAsia="Arial" w:hAnsi="Arial"/>
          <w:sz w:val="17"/>
          <w:szCs w:val="17"/>
          <w:color w:val="auto"/>
        </w:rPr>
      </w:pPr>
    </w:p>
    <w:p>
      <w:pPr>
        <w:jc w:val="both"/>
        <w:ind w:left="1260" w:right="200" w:hanging="311"/>
        <w:spacing w:after="0" w:line="273" w:lineRule="auto"/>
        <w:tabs>
          <w:tab w:leader="none" w:pos="1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8" w:lineRule="exact"/>
        <w:rPr>
          <w:rFonts w:ascii="Arial" w:cs="Arial" w:eastAsia="Arial" w:hAnsi="Arial"/>
          <w:sz w:val="17"/>
          <w:szCs w:val="17"/>
          <w:color w:val="auto"/>
        </w:rPr>
      </w:pPr>
    </w:p>
    <w:p>
      <w:pPr>
        <w:ind w:left="1260" w:right="120" w:hanging="311"/>
        <w:spacing w:after="0" w:line="290" w:lineRule="auto"/>
        <w:tabs>
          <w:tab w:leader="none" w:pos="1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right="220" w:hanging="311"/>
        <w:spacing w:after="0" w:line="289" w:lineRule="auto"/>
        <w:tabs>
          <w:tab w:leader="none" w:pos="1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4" w:lineRule="exact"/>
        <w:rPr>
          <w:rFonts w:ascii="Arial" w:cs="Arial" w:eastAsia="Arial" w:hAnsi="Arial"/>
          <w:sz w:val="17"/>
          <w:szCs w:val="17"/>
          <w:color w:val="auto"/>
        </w:rPr>
      </w:pPr>
    </w:p>
    <w:p>
      <w:pPr>
        <w:ind w:left="1260" w:right="360" w:hanging="311"/>
        <w:spacing w:after="0" w:line="289" w:lineRule="auto"/>
        <w:tabs>
          <w:tab w:leader="none" w:pos="1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4" w:lineRule="exact"/>
        <w:rPr>
          <w:rFonts w:ascii="Arial" w:cs="Arial" w:eastAsia="Arial" w:hAnsi="Arial"/>
          <w:sz w:val="17"/>
          <w:szCs w:val="17"/>
          <w:color w:val="auto"/>
        </w:rPr>
      </w:pPr>
    </w:p>
    <w:p>
      <w:pPr>
        <w:ind w:left="1260" w:right="20" w:hanging="311"/>
        <w:spacing w:after="0" w:line="289" w:lineRule="auto"/>
        <w:tabs>
          <w:tab w:leader="none" w:pos="1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50" w:lineRule="exact"/>
        <w:rPr>
          <w:rFonts w:ascii="Arial" w:cs="Arial" w:eastAsia="Arial" w:hAnsi="Arial"/>
          <w:sz w:val="17"/>
          <w:szCs w:val="17"/>
          <w:color w:val="auto"/>
        </w:rPr>
      </w:pPr>
    </w:p>
    <w:p>
      <w:pPr>
        <w:jc w:val="both"/>
        <w:ind w:left="1260" w:right="200" w:hanging="311"/>
        <w:spacing w:after="0" w:line="273" w:lineRule="auto"/>
        <w:tabs>
          <w:tab w:leader="none" w:pos="1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98" w:lineRule="exact"/>
        <w:rPr>
          <w:rFonts w:ascii="Arial" w:cs="Arial" w:eastAsia="Arial" w:hAnsi="Arial"/>
          <w:sz w:val="17"/>
          <w:szCs w:val="17"/>
          <w:color w:val="auto"/>
        </w:rPr>
      </w:pPr>
    </w:p>
    <w:p>
      <w:pPr>
        <w:ind w:left="1260" w:hanging="311"/>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50" w:lineRule="exact"/>
        <w:rPr>
          <w:rFonts w:ascii="Arial" w:cs="Arial" w:eastAsia="Arial" w:hAnsi="Arial"/>
          <w:sz w:val="17"/>
          <w:szCs w:val="17"/>
          <w:color w:val="auto"/>
        </w:rPr>
      </w:pPr>
    </w:p>
    <w:p>
      <w:pPr>
        <w:ind w:left="1260" w:right="200" w:hanging="311"/>
        <w:spacing w:after="0" w:line="289" w:lineRule="auto"/>
        <w:tabs>
          <w:tab w:leader="none" w:pos="1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4" w:lineRule="exact"/>
        <w:rPr>
          <w:rFonts w:ascii="Arial" w:cs="Arial" w:eastAsia="Arial" w:hAnsi="Arial"/>
          <w:sz w:val="17"/>
          <w:szCs w:val="17"/>
          <w:color w:val="auto"/>
        </w:rPr>
      </w:pPr>
    </w:p>
    <w:p>
      <w:pPr>
        <w:ind w:left="1260" w:hanging="311"/>
        <w:spacing w:after="0" w:line="289" w:lineRule="auto"/>
        <w:tabs>
          <w:tab w:leader="none" w:pos="1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85"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2" w:lineRule="exact"/>
        <w:rPr>
          <w:sz w:val="20"/>
          <w:szCs w:val="20"/>
          <w:color w:val="auto"/>
        </w:rPr>
      </w:pPr>
    </w:p>
    <w:p>
      <w:pPr>
        <w:ind w:right="80" w:firstLine="393"/>
        <w:spacing w:after="0" w:line="283"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93"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5" w:lineRule="exact"/>
        <w:rPr>
          <w:sz w:val="20"/>
          <w:szCs w:val="20"/>
          <w:color w:val="auto"/>
        </w:rPr>
      </w:pPr>
    </w:p>
    <w:p>
      <w:pPr>
        <w:ind w:right="340" w:firstLine="393"/>
        <w:spacing w:after="0" w:line="298"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ind w:right="480" w:firstLine="393"/>
        <w:spacing w:after="0" w:line="289"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50"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and in February 2022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increase the pace of our share repurchases, any share repurchases remain subject to the circumstances in place at that time, including prevailing market prices. As a result, there can be no guarantee around the timing of our share repurchases, or that the volume of such repurchases will increase.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50" w:lineRule="exact"/>
        <w:rPr>
          <w:sz w:val="20"/>
          <w:szCs w:val="20"/>
          <w:color w:val="auto"/>
        </w:rPr>
      </w:pPr>
    </w:p>
    <w:p>
      <w:pPr>
        <w:ind w:right="200" w:firstLine="393"/>
        <w:spacing w:after="0" w:line="268"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30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50"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5" w:lineRule="exact"/>
        <w:rPr>
          <w:sz w:val="20"/>
          <w:szCs w:val="20"/>
          <w:color w:val="auto"/>
        </w:rPr>
      </w:pPr>
    </w:p>
    <w:p>
      <w:pPr>
        <w:ind w:right="40" w:firstLine="393"/>
        <w:spacing w:after="0" w:line="281" w:lineRule="auto"/>
        <w:rPr>
          <w:sz w:val="20"/>
          <w:szCs w:val="20"/>
          <w:color w:val="auto"/>
        </w:rPr>
      </w:pPr>
      <w:r>
        <w:rPr>
          <w:rFonts w:ascii="Arial" w:cs="Arial" w:eastAsia="Arial" w:hAnsi="Arial"/>
          <w:sz w:val="16"/>
          <w:szCs w:val="16"/>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50" w:lineRule="exact"/>
        <w:rPr>
          <w:sz w:val="20"/>
          <w:szCs w:val="20"/>
          <w:color w:val="auto"/>
        </w:rPr>
      </w:pPr>
    </w:p>
    <w:p>
      <w:pPr>
        <w:ind w:right="20" w:firstLine="393"/>
        <w:spacing w:after="0" w:line="314"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73"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has released guidance covering various topics, including digital economy, transfer pricing, country-by-country reporting, and definitional changes to permanent establishment that could ultimately impact our tax liabilities.</w:t>
      </w:r>
    </w:p>
    <w:p>
      <w:pPr>
        <w:spacing w:after="0" w:line="185"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05"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5" w:lineRule="exact"/>
        <w:rPr>
          <w:sz w:val="20"/>
          <w:szCs w:val="20"/>
          <w:color w:val="auto"/>
        </w:rPr>
      </w:pPr>
    </w:p>
    <w:p>
      <w:pPr>
        <w:ind w:right="280" w:firstLine="393"/>
        <w:spacing w:after="0" w:line="268" w:lineRule="auto"/>
        <w:rPr>
          <w:sz w:val="20"/>
          <w:szCs w:val="20"/>
          <w:color w:val="auto"/>
        </w:rPr>
      </w:pPr>
      <w:r>
        <w:rPr>
          <w:rFonts w:ascii="Arial" w:cs="Arial" w:eastAsia="Arial" w:hAnsi="Arial"/>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2" w:lineRule="exact"/>
        <w:rPr>
          <w:sz w:val="20"/>
          <w:szCs w:val="20"/>
          <w:color w:val="auto"/>
        </w:rPr>
      </w:pPr>
    </w:p>
    <w:p>
      <w:pPr>
        <w:ind w:right="20" w:firstLine="393"/>
        <w:spacing w:after="0" w:line="27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3"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50"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predict the impact of future changes to accounting principles or our accounting policies, any of which could negatively affect our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50"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5"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1B. UNRESOLVED STAFF COMMENTS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PROPERTIES</w:t>
      </w:r>
    </w:p>
    <w:p>
      <w:pPr>
        <w:spacing w:after="0" w:line="114"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Our corporate headquarters are located in San Francisco, California, pursuant to operating leases that expire in 2033. We lease additional offices in San Francisco and around the world, including in Austin, Texas; New York, New York; Mountain View, California; Seattle, Washington; Dublin, Ireland; and Sydney, Australia. We have data center co-location facilities in California, Oregon, Texas, and Virginia. We believe that these facilities are generally suitable to meet our needs.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LEGAL PROCEEDINGS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5" w:lineRule="exact"/>
        <w:rPr>
          <w:sz w:val="20"/>
          <w:szCs w:val="20"/>
          <w:color w:val="auto"/>
        </w:rPr>
      </w:pPr>
    </w:p>
    <w:p>
      <w:pPr>
        <w:ind w:right="320" w:firstLine="393"/>
        <w:spacing w:after="0" w:line="289"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w:t>
      </w:r>
    </w:p>
    <w:p>
      <w:pPr>
        <w:spacing w:after="0" w:line="93"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We are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six lawsuits each make the same or similar allegations of violations of federal securities laws, for allegedly making materially false and misleading statements in, or omitting material information from, our IPO registration statement. The plaintiffs seek unspecified monetary damages and other relief.</w:t>
      </w:r>
    </w:p>
    <w:p>
      <w:pPr>
        <w:spacing w:after="0" w:line="211"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On March 2, 2020, the Federal Plaintiffs filed a consolidated class action complaint. On April 16, 2020, the Dropbox Defendants filed a motion to dismiss the federal consolidated class action complaint. On October 21, 2020, the federal court issued an order granting our motion to dismiss the Federal Plaintiffs’ complaint with leave to amend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 On July 22, 2021, the Court held a preliminary settlement approval hearing. On August 3, 2021, the Court entered an order preliminarily approving the settlement and providing for notice to the class. The Court held a hearing for final approval of the settlement on December 2, 2021. On December 8, 2021, the Court entered an order approving the settlement and dismissing the case. Accordingly, the federal securities litigation is now resolved.</w:t>
      </w:r>
    </w:p>
    <w:p>
      <w:pPr>
        <w:spacing w:after="0" w:line="92"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our amended and restated bylaws. On December 4, 2020, the state court issued an order granting our motion to dismiss the consolidated state court case. On December 15, 2020, the State Plaintiffs filed a notice of appeal of this order, and on December 8, 2021, the State Plaintiffs filed their opening brief. Dropbox filed its responding appellate brief on February 4, 2022. We believe the appeal and claims are without merit and we intend to vigorously defend against them.</w:t>
      </w:r>
    </w:p>
    <w:p>
      <w:pPr>
        <w:spacing w:after="0" w:line="114" w:lineRule="exact"/>
        <w:rPr>
          <w:sz w:val="20"/>
          <w:szCs w:val="20"/>
          <w:color w:val="auto"/>
        </w:rPr>
      </w:pPr>
    </w:p>
    <w:p>
      <w:pPr>
        <w:ind w:right="120" w:firstLine="393"/>
        <w:spacing w:after="0" w:line="326"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MINE SAFETY DISCLOSURES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w:t>
      </w:r>
    </w:p>
    <w:p>
      <w:pPr>
        <w:spacing w:after="0" w:line="257" w:lineRule="exact"/>
        <w:rPr>
          <w:sz w:val="20"/>
          <w:szCs w:val="20"/>
          <w:color w:val="auto"/>
        </w:rPr>
      </w:pPr>
    </w:p>
    <w:p>
      <w:pPr>
        <w:ind w:right="220"/>
        <w:spacing w:after="0" w:line="278" w:lineRule="auto"/>
        <w:rPr>
          <w:sz w:val="20"/>
          <w:szCs w:val="20"/>
          <w:color w:val="auto"/>
        </w:rPr>
      </w:pPr>
      <w:r>
        <w:rPr>
          <w:rFonts w:ascii="Arial" w:cs="Arial" w:eastAsia="Arial" w:hAnsi="Arial"/>
          <w:sz w:val="21"/>
          <w:szCs w:val="21"/>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for Class A Common Stock</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Class A common stock has been listed on the Nasdaq Global Market under the symbol "DBX" since March 23, 2018.</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25" w:lineRule="exact"/>
        <w:rPr>
          <w:sz w:val="20"/>
          <w:szCs w:val="20"/>
          <w:color w:val="auto"/>
        </w:rPr>
      </w:pPr>
    </w:p>
    <w:p>
      <w:pPr>
        <w:jc w:val="both"/>
        <w:ind w:right="200" w:firstLine="433"/>
        <w:spacing w:after="0" w:line="273" w:lineRule="auto"/>
        <w:rPr>
          <w:sz w:val="20"/>
          <w:szCs w:val="20"/>
          <w:color w:val="auto"/>
        </w:rPr>
      </w:pPr>
      <w:r>
        <w:rPr>
          <w:rFonts w:ascii="Arial" w:cs="Arial" w:eastAsia="Arial" w:hAnsi="Arial"/>
          <w:sz w:val="17"/>
          <w:szCs w:val="17"/>
          <w:color w:val="auto"/>
        </w:rPr>
        <w:t>As of February 15, 2022, we had 764 holders of record of our Class A and Class B common stock, respectively, and no holders of our Class C common stock. The actual number of stockholders is greater than this number of record holders and includes stockholders who are beneficial owners, but whose shares are held in street name by brokers and other nominees.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5"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with respect to our repurchases of Class A common stock during the quarter ended December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8"/>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jc w:val="center"/>
              <w:ind w:right="38"/>
              <w:spacing w:after="0"/>
              <w:rPr>
                <w:sz w:val="20"/>
                <w:szCs w:val="20"/>
                <w:color w:val="auto"/>
              </w:rPr>
            </w:pPr>
            <w:r>
              <w:rPr>
                <w:rFonts w:ascii="Arial" w:cs="Arial" w:eastAsia="Arial" w:hAnsi="Arial"/>
                <w:sz w:val="16"/>
                <w:szCs w:val="16"/>
                <w:color w:val="auto"/>
                <w:w w:val="92"/>
              </w:rPr>
              <w:t>Approximate Dollar Value of</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jc w:val="center"/>
              <w:ind w:right="38"/>
              <w:spacing w:after="0" w:line="158"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right"/>
              <w:ind w:right="236"/>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jc w:val="center"/>
              <w:spacing w:after="0" w:line="158" w:lineRule="exact"/>
              <w:rPr>
                <w:sz w:val="20"/>
                <w:szCs w:val="20"/>
                <w:color w:val="auto"/>
              </w:rPr>
            </w:pPr>
            <w:r>
              <w:rPr>
                <w:rFonts w:ascii="Arial" w:cs="Arial" w:eastAsia="Arial" w:hAnsi="Arial"/>
                <w:sz w:val="16"/>
                <w:szCs w:val="16"/>
                <w:color w:val="auto"/>
                <w:w w:val="8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jc w:val="center"/>
              <w:ind w:right="38"/>
              <w:spacing w:after="0" w:line="158" w:lineRule="exact"/>
              <w:rPr>
                <w:sz w:val="20"/>
                <w:szCs w:val="20"/>
                <w:color w:val="auto"/>
              </w:rPr>
            </w:pPr>
            <w:r>
              <w:rPr>
                <w:rFonts w:ascii="Arial" w:cs="Arial" w:eastAsia="Arial" w:hAnsi="Arial"/>
                <w:sz w:val="16"/>
                <w:szCs w:val="16"/>
                <w:color w:val="auto"/>
                <w:w w:val="89"/>
              </w:rPr>
              <w:t>Purchased Under Publicly</w:t>
            </w:r>
          </w:p>
        </w:tc>
        <w:tc>
          <w:tcPr>
            <w:tcW w:w="0" w:type="dxa"/>
            <w:vAlign w:val="bottom"/>
          </w:tcPr>
          <w:p>
            <w:pPr>
              <w:spacing w:after="0"/>
              <w:rPr>
                <w:sz w:val="1"/>
                <w:szCs w:val="1"/>
                <w:color w:val="auto"/>
              </w:rPr>
            </w:pPr>
          </w:p>
        </w:tc>
      </w:tr>
      <w:tr>
        <w:trPr>
          <w:trHeight w:val="157"/>
        </w:trPr>
        <w:tc>
          <w:tcPr>
            <w:tcW w:w="2240" w:type="dxa"/>
            <w:vAlign w:val="bottom"/>
            <w:vMerge w:val="restart"/>
          </w:tcPr>
          <w:p>
            <w:pPr>
              <w:jc w:val="center"/>
              <w:spacing w:after="0"/>
              <w:rPr>
                <w:sz w:val="20"/>
                <w:szCs w:val="20"/>
                <w:color w:val="auto"/>
              </w:rPr>
            </w:pPr>
            <w:r>
              <w:rPr>
                <w:rFonts w:ascii="Arial" w:cs="Arial" w:eastAsia="Arial" w:hAnsi="Arial"/>
                <w:sz w:val="16"/>
                <w:szCs w:val="16"/>
                <w:color w:val="auto"/>
                <w:w w:val="90"/>
              </w:rPr>
              <w:t>Period</w:t>
            </w:r>
          </w:p>
        </w:tc>
        <w:tc>
          <w:tcPr>
            <w:tcW w:w="120" w:type="dxa"/>
            <w:vAlign w:val="bottom"/>
            <w:vMerge w:val="restart"/>
          </w:tcPr>
          <w:p>
            <w:pPr>
              <w:spacing w:after="0"/>
              <w:rPr>
                <w:sz w:val="13"/>
                <w:szCs w:val="13"/>
                <w:color w:val="auto"/>
              </w:rPr>
            </w:pPr>
          </w:p>
        </w:tc>
        <w:tc>
          <w:tcPr>
            <w:tcW w:w="2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6"/>
                <w:szCs w:val="16"/>
                <w:color w:val="auto"/>
                <w:w w:val="89"/>
              </w:rPr>
              <w:t>Average Price Paid per Share</w:t>
            </w:r>
            <w:r>
              <w:rPr>
                <w:rFonts w:ascii="Arial" w:cs="Arial" w:eastAsia="Arial" w:hAnsi="Arial"/>
                <w:sz w:val="20"/>
                <w:szCs w:val="20"/>
                <w:color w:val="auto"/>
                <w:w w:val="89"/>
                <w:vertAlign w:val="superscript"/>
              </w:rPr>
              <w:t>(2)</w:t>
            </w:r>
          </w:p>
        </w:tc>
        <w:tc>
          <w:tcPr>
            <w:tcW w:w="120" w:type="dxa"/>
            <w:vAlign w:val="bottom"/>
            <w:vMerge w:val="restart"/>
          </w:tcPr>
          <w:p>
            <w:pPr>
              <w:spacing w:after="0"/>
              <w:rPr>
                <w:sz w:val="13"/>
                <w:szCs w:val="13"/>
                <w:color w:val="auto"/>
              </w:rPr>
            </w:pPr>
          </w:p>
        </w:tc>
        <w:tc>
          <w:tcPr>
            <w:tcW w:w="2140" w:type="dxa"/>
            <w:vAlign w:val="bottom"/>
          </w:tcPr>
          <w:p>
            <w:pPr>
              <w:jc w:val="center"/>
              <w:spacing w:after="0" w:line="158" w:lineRule="exact"/>
              <w:rPr>
                <w:sz w:val="20"/>
                <w:szCs w:val="20"/>
                <w:color w:val="auto"/>
              </w:rPr>
            </w:pPr>
            <w:r>
              <w:rPr>
                <w:rFonts w:ascii="Arial" w:cs="Arial" w:eastAsia="Arial" w:hAnsi="Arial"/>
                <w:sz w:val="16"/>
                <w:szCs w:val="16"/>
                <w:color w:val="auto"/>
                <w:w w:val="8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Pr>
          <w:p>
            <w:pPr>
              <w:jc w:val="center"/>
              <w:ind w:right="38"/>
              <w:spacing w:after="0" w:line="158" w:lineRule="exact"/>
              <w:rPr>
                <w:sz w:val="20"/>
                <w:szCs w:val="20"/>
                <w:color w:val="auto"/>
              </w:rPr>
            </w:pPr>
            <w:r>
              <w:rPr>
                <w:rFonts w:ascii="Arial" w:cs="Arial" w:eastAsia="Arial" w:hAnsi="Arial"/>
                <w:sz w:val="16"/>
                <w:szCs w:val="16"/>
                <w:color w:val="auto"/>
                <w:w w:val="87"/>
              </w:rPr>
              <w:t>Announced Programs</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140" w:type="dxa"/>
            <w:vAlign w:val="bottom"/>
            <w:tcBorders>
              <w:bottom w:val="single" w:sz="8" w:color="auto"/>
            </w:tcBorders>
          </w:tcPr>
          <w:p>
            <w:pPr>
              <w:jc w:val="right"/>
              <w:ind w:right="196"/>
              <w:spacing w:after="0" w:line="207" w:lineRule="exact"/>
              <w:rPr>
                <w:sz w:val="20"/>
                <w:szCs w:val="20"/>
                <w:color w:val="auto"/>
              </w:rPr>
            </w:pPr>
            <w:r>
              <w:rPr>
                <w:rFonts w:ascii="Arial" w:cs="Arial" w:eastAsia="Arial" w:hAnsi="Arial"/>
                <w:sz w:val="16"/>
                <w:szCs w:val="16"/>
                <w:color w:val="auto"/>
              </w:rPr>
              <w:t>Purchased (in millions)</w:t>
            </w:r>
            <w:r>
              <w:rPr>
                <w:rFonts w:ascii="Arial" w:cs="Arial" w:eastAsia="Arial" w:hAnsi="Arial"/>
                <w:sz w:val="20"/>
                <w:szCs w:val="20"/>
                <w:color w:val="auto"/>
                <w:vertAlign w:val="superscript"/>
              </w:rPr>
              <w:t>(1)</w:t>
            </w:r>
          </w:p>
        </w:tc>
        <w:tc>
          <w:tcPr>
            <w:tcW w:w="100" w:type="dxa"/>
            <w:vAlign w:val="bottom"/>
          </w:tcPr>
          <w:p>
            <w:pPr>
              <w:spacing w:after="0"/>
              <w:rPr>
                <w:sz w:val="17"/>
                <w:szCs w:val="17"/>
                <w:color w:val="auto"/>
              </w:rPr>
            </w:pPr>
          </w:p>
        </w:tc>
        <w:tc>
          <w:tcPr>
            <w:tcW w:w="2140" w:type="dxa"/>
            <w:vAlign w:val="bottom"/>
            <w:tcBorders>
              <w:bottom w:val="single" w:sz="8" w:color="auto"/>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14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58"/>
              <w:spacing w:after="0" w:line="207"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10"/>
        </w:trPr>
        <w:tc>
          <w:tcPr>
            <w:tcW w:w="2360" w:type="dxa"/>
            <w:vAlign w:val="bottom"/>
            <w:gridSpan w:val="2"/>
          </w:tcPr>
          <w:p>
            <w:pPr>
              <w:ind w:left="20"/>
              <w:spacing w:after="0"/>
              <w:rPr>
                <w:sz w:val="20"/>
                <w:szCs w:val="20"/>
                <w:color w:val="auto"/>
              </w:rPr>
            </w:pPr>
            <w:r>
              <w:rPr>
                <w:rFonts w:ascii="Arial" w:cs="Arial" w:eastAsia="Arial" w:hAnsi="Arial"/>
                <w:sz w:val="17"/>
                <w:szCs w:val="17"/>
                <w:color w:val="auto"/>
              </w:rPr>
              <w:t>October 1 - 31</w:t>
            </w:r>
          </w:p>
        </w:tc>
        <w:tc>
          <w:tcPr>
            <w:tcW w:w="2140" w:type="dxa"/>
            <w:vAlign w:val="bottom"/>
          </w:tcPr>
          <w:p>
            <w:pPr>
              <w:jc w:val="right"/>
              <w:spacing w:after="0"/>
              <w:rPr>
                <w:sz w:val="20"/>
                <w:szCs w:val="20"/>
                <w:color w:val="auto"/>
              </w:rPr>
            </w:pPr>
            <w:r>
              <w:rPr>
                <w:rFonts w:ascii="Arial" w:cs="Arial" w:eastAsia="Arial" w:hAnsi="Arial"/>
                <w:sz w:val="17"/>
                <w:szCs w:val="17"/>
                <w:color w:val="auto"/>
              </w:rPr>
              <w:t>2.68</w:t>
            </w:r>
          </w:p>
        </w:tc>
        <w:tc>
          <w:tcPr>
            <w:tcW w:w="1000" w:type="dxa"/>
            <w:vAlign w:val="bottom"/>
            <w:gridSpan w:val="2"/>
          </w:tcPr>
          <w:p>
            <w:pPr>
              <w:jc w:val="right"/>
              <w:ind w:right="701"/>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29.55</w:t>
            </w: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2.68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559.38</w:t>
            </w:r>
          </w:p>
        </w:tc>
        <w:tc>
          <w:tcPr>
            <w:tcW w:w="0" w:type="dxa"/>
            <w:vAlign w:val="bottom"/>
          </w:tcPr>
          <w:p>
            <w:pPr>
              <w:spacing w:after="0"/>
              <w:rPr>
                <w:sz w:val="1"/>
                <w:szCs w:val="1"/>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7"/>
                <w:szCs w:val="17"/>
                <w:color w:val="auto"/>
              </w:rPr>
              <w:t>November 1 - 30</w:t>
            </w:r>
          </w:p>
        </w:tc>
        <w:tc>
          <w:tcPr>
            <w:tcW w:w="2140" w:type="dxa"/>
            <w:vAlign w:val="bottom"/>
          </w:tcPr>
          <w:p>
            <w:pPr>
              <w:jc w:val="right"/>
              <w:spacing w:after="0" w:line="230" w:lineRule="exact"/>
              <w:rPr>
                <w:sz w:val="20"/>
                <w:szCs w:val="20"/>
                <w:color w:val="auto"/>
              </w:rPr>
            </w:pPr>
            <w:r>
              <w:rPr>
                <w:rFonts w:ascii="Arial" w:cs="Arial" w:eastAsia="Arial" w:hAnsi="Arial"/>
                <w:sz w:val="17"/>
                <w:szCs w:val="17"/>
                <w:color w:val="auto"/>
              </w:rPr>
              <w:t>4.83</w:t>
            </w:r>
            <w:r>
              <w:rPr>
                <w:rFonts w:ascii="Arial" w:cs="Arial" w:eastAsia="Arial" w:hAnsi="Arial"/>
                <w:sz w:val="22"/>
                <w:szCs w:val="22"/>
                <w:color w:val="auto"/>
                <w:vertAlign w:val="superscript"/>
              </w:rPr>
              <w:t>(3)</w:t>
            </w:r>
          </w:p>
        </w:tc>
        <w:tc>
          <w:tcPr>
            <w:tcW w:w="1000" w:type="dxa"/>
            <w:vAlign w:val="bottom"/>
            <w:gridSpan w:val="2"/>
          </w:tcPr>
          <w:p>
            <w:pPr>
              <w:jc w:val="right"/>
              <w:ind w:right="701"/>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26.63</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3.71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460.47</w:t>
            </w:r>
          </w:p>
        </w:tc>
        <w:tc>
          <w:tcPr>
            <w:tcW w:w="0" w:type="dxa"/>
            <w:vAlign w:val="bottom"/>
          </w:tcPr>
          <w:p>
            <w:pPr>
              <w:spacing w:after="0"/>
              <w:rPr>
                <w:sz w:val="1"/>
                <w:szCs w:val="1"/>
                <w:color w:val="auto"/>
              </w:rPr>
            </w:pPr>
          </w:p>
        </w:tc>
      </w:tr>
      <w:tr>
        <w:trPr>
          <w:trHeight w:val="222"/>
        </w:trPr>
        <w:tc>
          <w:tcPr>
            <w:tcW w:w="2360" w:type="dxa"/>
            <w:vAlign w:val="bottom"/>
            <w:gridSpan w:val="2"/>
          </w:tcPr>
          <w:p>
            <w:pPr>
              <w:ind w:left="20"/>
              <w:spacing w:after="0"/>
              <w:rPr>
                <w:sz w:val="20"/>
                <w:szCs w:val="20"/>
                <w:color w:val="auto"/>
              </w:rPr>
            </w:pPr>
            <w:r>
              <w:rPr>
                <w:rFonts w:ascii="Arial" w:cs="Arial" w:eastAsia="Arial" w:hAnsi="Arial"/>
                <w:sz w:val="17"/>
                <w:szCs w:val="17"/>
                <w:color w:val="auto"/>
              </w:rPr>
              <w:t>December 1 - 31</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w:t>
            </w:r>
          </w:p>
        </w:tc>
        <w:tc>
          <w:tcPr>
            <w:tcW w:w="1000" w:type="dxa"/>
            <w:vAlign w:val="bottom"/>
            <w:gridSpan w:val="2"/>
          </w:tcPr>
          <w:p>
            <w:pPr>
              <w:jc w:val="right"/>
              <w:ind w:right="701"/>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24.39</w:t>
            </w: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343.49</w:t>
            </w:r>
          </w:p>
        </w:tc>
        <w:tc>
          <w:tcPr>
            <w:tcW w:w="0" w:type="dxa"/>
            <w:vAlign w:val="bottom"/>
          </w:tcPr>
          <w:p>
            <w:pPr>
              <w:spacing w:after="0"/>
              <w:rPr>
                <w:sz w:val="1"/>
                <w:szCs w:val="1"/>
                <w:color w:val="auto"/>
              </w:rPr>
            </w:pPr>
          </w:p>
        </w:tc>
      </w:tr>
      <w:tr>
        <w:trPr>
          <w:trHeight w:val="216"/>
        </w:trPr>
        <w:tc>
          <w:tcPr>
            <w:tcW w:w="23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Total</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w:t>
            </w:r>
          </w:p>
        </w:tc>
        <w:tc>
          <w:tcPr>
            <w:tcW w:w="1000" w:type="dxa"/>
            <w:vAlign w:val="bottom"/>
            <w:gridSpan w:val="2"/>
          </w:tcPr>
          <w:p>
            <w:pPr>
              <w:jc w:val="right"/>
              <w:ind w:right="701"/>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26.37</w:t>
            </w:r>
          </w:p>
        </w:tc>
        <w:tc>
          <w:tcPr>
            <w:tcW w:w="12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right="80" w:firstLine="5"/>
        <w:spacing w:after="0" w:line="309" w:lineRule="auto"/>
        <w:tabs>
          <w:tab w:leader="none" w:pos="161"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On February 20, 2020, we announced that our Board of Directors approved a stock repurchase program for the repurchase of up to $600 million of the Company's outstanding shares of Class A common stock. On February 18, 2021, we announced that our Board of Directors authorized the repurchase of an additional $1 billion of the outstanding shares of our Class A common stock. We completed the February 2020 authorization of $600 million during the three months ended March 31, 2021 and continued stock repurchases under the February 2021 authorization. On February 11, 2022, our Board of Directors authorized the repurchase of an additional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Equity" of this Annual Report on Form 10-K for additional information related to share repurchases.</w:t>
      </w:r>
    </w:p>
    <w:p>
      <w:pPr>
        <w:spacing w:after="0" w:line="182" w:lineRule="exact"/>
        <w:rPr>
          <w:rFonts w:ascii="Arial" w:cs="Arial" w:eastAsia="Arial" w:hAnsi="Arial"/>
          <w:sz w:val="19"/>
          <w:szCs w:val="19"/>
          <w:color w:val="auto"/>
          <w:vertAlign w:val="superscript"/>
        </w:rPr>
      </w:pPr>
    </w:p>
    <w:p>
      <w:pPr>
        <w:ind w:left="160" w:hanging="155"/>
        <w:spacing w:after="0"/>
        <w:tabs>
          <w:tab w:leader="none" w:pos="16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Average price paid per share includes costs associated with the repurchases.</w:t>
      </w:r>
    </w:p>
    <w:p>
      <w:pPr>
        <w:spacing w:after="0" w:line="227" w:lineRule="exact"/>
        <w:rPr>
          <w:rFonts w:ascii="Arial" w:cs="Arial" w:eastAsia="Arial" w:hAnsi="Arial"/>
          <w:sz w:val="19"/>
          <w:szCs w:val="19"/>
          <w:color w:val="auto"/>
          <w:vertAlign w:val="superscript"/>
        </w:rPr>
      </w:pPr>
    </w:p>
    <w:p>
      <w:pPr>
        <w:ind w:right="500" w:firstLine="5"/>
        <w:spacing w:after="0"/>
        <w:tabs>
          <w:tab w:leader="none" w:pos="161"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Includes 1,117,743 shares of restricted common stock delivered by certain employees upon vesting of restricted stock awards to satisfy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5" w:lineRule="exact"/>
        <w:rPr>
          <w:sz w:val="20"/>
          <w:szCs w:val="20"/>
          <w:color w:val="auto"/>
        </w:rPr>
      </w:pPr>
    </w:p>
    <w:p>
      <w:pPr>
        <w:ind w:right="80" w:firstLine="433"/>
        <w:spacing w:after="0" w:line="298"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285"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March 23, 2018 (the date our Class A common stock commenced trading on the Nasdaq Global Select Market) through December 31, 2021 with (ii) the cumulative total return of the Standard &amp; Poor's 500 Index and the Nasdaq Computer Index over the same period, assuming the investment of $100 in our common stock and in both of the other indices on March 23, 2018 and the reinvestment of dividends. The graph uses the closing market price on March 23, 2018 of $28.48 per share as the initial value of our common stock. As discussed above, we have never declared or paid a cash dividend on our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137795</wp:posOffset>
            </wp:positionV>
            <wp:extent cx="5695950" cy="2423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595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*Returns are based on historical results and are not necessarily indicative of future performance. See the disclosure in Part I, Item 1A,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Reserved</w:t>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2320"/>
        <w:spacing w:after="0" w:line="278" w:lineRule="auto"/>
        <w:rPr>
          <w:sz w:val="20"/>
          <w:szCs w:val="20"/>
          <w:color w:val="auto"/>
        </w:rPr>
      </w:pPr>
      <w:r>
        <w:rPr>
          <w:rFonts w:ascii="Arial" w:cs="Arial" w:eastAsia="Arial" w:hAnsi="Arial"/>
          <w:sz w:val="21"/>
          <w:szCs w:val="21"/>
          <w:b w:val="1"/>
          <w:bCs w:val="1"/>
          <w:color w:val="auto"/>
        </w:rPr>
        <w:t>ITEM 7. MANAGEMENT’S DISCUSSION AND ANALYSIS OF FINANCIAL CONDITION AND RESULTS OF OPERATIONS</w:t>
      </w:r>
    </w:p>
    <w:p>
      <w:pPr>
        <w:spacing w:after="0" w:line="46" w:lineRule="exact"/>
        <w:rPr>
          <w:sz w:val="20"/>
          <w:szCs w:val="20"/>
          <w:color w:val="auto"/>
        </w:rPr>
      </w:pPr>
    </w:p>
    <w:p>
      <w:pPr>
        <w:ind w:firstLine="433"/>
        <w:spacing w:after="0" w:line="24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For a comparison of our results of operations for the fiscal years ended December 31, 2020 and 2019 see Item 7, Management’s Discussion and Analysis of Financial Condition and Results of Operations, of our Annual Report on Form 10-K for the fiscal year ended December 31, 2020, filed with the SEC on February 19, 2021.</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5"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Our modern economy runs on knowledge. Today, knowledge lives in the cloud as digital content, and Dropbox is where businesses and individuals can create, access, and share this content globally. We serve more than 700 million registered users across 180 countries.</w:t>
      </w:r>
    </w:p>
    <w:p>
      <w:pPr>
        <w:spacing w:after="0" w:line="185"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85" w:lineRule="exact"/>
        <w:rPr>
          <w:sz w:val="20"/>
          <w:szCs w:val="20"/>
          <w:color w:val="auto"/>
        </w:rPr>
      </w:pPr>
    </w:p>
    <w:p>
      <w:pPr>
        <w:ind w:right="160" w:firstLine="433"/>
        <w:spacing w:after="0" w:line="289"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16.79 million paying users.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5"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Our customer base is highly diversified, and in the periods presented, no customer accounted for more than 1% of our revenue. We typically bill our customers at the beginning of their respective terms and recognize revenue ratably over the term of the subscription period. International customers can pay in U.S. dollars or a select number of foreign currencies.</w:t>
      </w:r>
    </w:p>
    <w:p>
      <w:pPr>
        <w:spacing w:after="0" w:line="211" w:lineRule="exact"/>
        <w:rPr>
          <w:sz w:val="20"/>
          <w:szCs w:val="20"/>
          <w:color w:val="auto"/>
        </w:rPr>
      </w:pPr>
    </w:p>
    <w:p>
      <w:pPr>
        <w:jc w:val="both"/>
        <w:ind w:right="180" w:firstLine="433"/>
        <w:spacing w:after="0" w:line="268"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2" w:lineRule="exact"/>
        <w:rPr>
          <w:sz w:val="20"/>
          <w:szCs w:val="20"/>
          <w:color w:val="auto"/>
        </w:rPr>
      </w:pPr>
    </w:p>
    <w:p>
      <w:pPr>
        <w:ind w:right="240" w:firstLine="472"/>
        <w:spacing w:after="0" w:line="273" w:lineRule="auto"/>
        <w:rPr>
          <w:sz w:val="20"/>
          <w:szCs w:val="20"/>
          <w:color w:val="auto"/>
        </w:rPr>
      </w:pPr>
      <w:r>
        <w:rPr>
          <w:rFonts w:ascii="Arial" w:cs="Arial" w:eastAsia="Arial" w:hAnsi="Arial"/>
          <w:sz w:val="17"/>
          <w:szCs w:val="17"/>
          <w:color w:val="auto"/>
        </w:rPr>
        <w:t>In the first quarter of 2021, we acquired DocSend, a secure document sharing and analytics company. The combination of DocSend with our other product offerings helps customers across industries manage end-to-end document workflows—from content collaboration to sharing and e-signature—giving them more control over their business results.</w:t>
      </w:r>
    </w:p>
    <w:p>
      <w:pPr>
        <w:spacing w:after="0" w:line="198" w:lineRule="exact"/>
        <w:rPr>
          <w:sz w:val="20"/>
          <w:szCs w:val="20"/>
          <w:color w:val="auto"/>
        </w:rPr>
      </w:pPr>
    </w:p>
    <w:p>
      <w:pPr>
        <w:ind w:right="200" w:firstLine="472"/>
        <w:spacing w:after="0" w:line="265" w:lineRule="auto"/>
        <w:rPr>
          <w:sz w:val="20"/>
          <w:szCs w:val="20"/>
          <w:color w:val="auto"/>
        </w:rPr>
      </w:pPr>
      <w:r>
        <w:rPr>
          <w:rFonts w:ascii="Arial" w:cs="Arial" w:eastAsia="Arial" w:hAnsi="Arial"/>
          <w:sz w:val="17"/>
          <w:szCs w:val="17"/>
          <w:color w:val="auto"/>
        </w:rPr>
        <w:t>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206" w:lineRule="exact"/>
        <w:rPr>
          <w:sz w:val="20"/>
          <w:szCs w:val="20"/>
          <w:color w:val="auto"/>
        </w:rPr>
      </w:pPr>
    </w:p>
    <w:p>
      <w:pPr>
        <w:ind w:right="80" w:firstLine="472"/>
        <w:spacing w:after="0" w:line="268" w:lineRule="auto"/>
        <w:rPr>
          <w:sz w:val="20"/>
          <w:szCs w:val="20"/>
          <w:color w:val="auto"/>
        </w:rPr>
      </w:pPr>
      <w:r>
        <w:rPr>
          <w:rFonts w:ascii="Arial" w:cs="Arial" w:eastAsia="Arial" w:hAnsi="Arial"/>
          <w:sz w:val="17"/>
          <w:szCs w:val="17"/>
          <w:color w:val="auto"/>
        </w:rPr>
        <w:t>We also offer HelloSign as our e-signature solution.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number of licenses, but can also have hundreds of users. Customers can choose between an annual or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monthly plan, with a small number of large organizations on multi-year plans. We typically bill HelloSign customers at the beginning of their respective terms and recognize revenue ratably over the subscription period. We sell HelloSign products globally and sell primarily in U.S. dollars</w:t>
      </w:r>
      <w:r>
        <w:rPr>
          <w:rFonts w:ascii="Arial" w:cs="Arial" w:eastAsia="Arial" w:hAnsi="Arial"/>
          <w:sz w:val="17"/>
          <w:szCs w:val="17"/>
          <w:i w:val="1"/>
          <w:i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119" w:lineRule="exact"/>
        <w:rPr>
          <w:sz w:val="20"/>
          <w:szCs w:val="20"/>
          <w:color w:val="auto"/>
        </w:rPr>
      </w:pPr>
    </w:p>
    <w:p>
      <w:pPr>
        <w:ind w:right="180" w:firstLine="433"/>
        <w:spacing w:after="0" w:line="273" w:lineRule="auto"/>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50"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HelloSign in 2019 and DocSend in 2021.</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Update</w:t>
      </w:r>
    </w:p>
    <w:p>
      <w:pPr>
        <w:spacing w:after="0" w:line="125" w:lineRule="exact"/>
        <w:rPr>
          <w:sz w:val="20"/>
          <w:szCs w:val="20"/>
          <w:color w:val="auto"/>
        </w:rPr>
      </w:pPr>
    </w:p>
    <w:p>
      <w:pPr>
        <w:ind w:firstLine="433"/>
        <w:spacing w:after="0" w:line="278" w:lineRule="auto"/>
        <w:rPr>
          <w:sz w:val="20"/>
          <w:szCs w:val="20"/>
          <w:color w:val="auto"/>
        </w:rPr>
      </w:pPr>
      <w:r>
        <w:rPr>
          <w:rFonts w:ascii="Arial" w:cs="Arial" w:eastAsia="Arial" w:hAnsi="Arial"/>
          <w:sz w:val="16"/>
          <w:szCs w:val="16"/>
          <w:color w:val="auto"/>
        </w:rPr>
        <w:t>Although we did not experience material impacts to our financial condition and results of operations during the year ended December 31, 2021, as a result of the on-going COVID-19 pandemic, we have seen and may continue to see impacts to certain components of results of operations, as described below. However, the full extent of the impact of the COVID-19 pandemic on our operational and financial performance will continue to depend on certain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all of which are uncertain and cannot be predicted. In addition, the COVID-19 pandemic has created economic uncertainty, including disruptions of the supply chain globally and labor shortages, which may adversely impact us directly or indirectly as a result of the effects on our customers and vendors. Accordingly, the full extent to which the COVID-19 pandemic may impact our business, financial condition or results of operations remains uncertain, but may include, without limitation, impacts to our paying user growth as well as disruptions to our business operations as a result of travel restrictions, shutdown of workplaces and potential impacts to our vendors.</w:t>
      </w:r>
    </w:p>
    <w:p>
      <w:pPr>
        <w:spacing w:after="0" w:line="20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Additionally, our results of operations and cash flows are subject to fluctuations due to changes in foreign currency exchange rates relative to U.S. dollars, our reporting currency, as well as changes in interest rates. Volatile market conditions related to the COVID-19 pandemic has, at times, and may in the future negatively impact our results of operations and cash flows, due to (i) a weakening of foreign currencies relative to the U.S. dollar, which may cause our revenues to decline relative to our costs, and (ii) government-initiated reductions in interest rates or maintaining low interest rates, which may reduce our interest income. Conversely, we have seen and may continue to see cost savings from the shift to remote work for all of our employees in areas including events, travel, utilities, and other benefits. We may continue to experience certain of these cost savings beyond the resolution of the COVID-19 pandemic as we shift to our Virtual First work model, as described below. Due to our subscription-based business model, the effect of the COVID-19 pandemic may not be fully reflected in our results of operations until future periods,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Virtual First</w:t>
      </w:r>
    </w:p>
    <w:p>
      <w:pPr>
        <w:spacing w:after="0" w:line="256" w:lineRule="exact"/>
        <w:rPr>
          <w:sz w:val="20"/>
          <w:szCs w:val="20"/>
          <w:color w:val="auto"/>
        </w:rPr>
      </w:pPr>
    </w:p>
    <w:p>
      <w:pPr>
        <w:ind w:firstLine="393"/>
        <w:spacing w:after="0" w:line="298" w:lineRule="auto"/>
        <w:rPr>
          <w:sz w:val="20"/>
          <w:szCs w:val="20"/>
          <w:color w:val="auto"/>
        </w:rPr>
      </w:pPr>
      <w:r>
        <w:rPr>
          <w:rFonts w:ascii="Arial" w:cs="Arial" w:eastAsia="Arial" w:hAnsi="Arial"/>
          <w:sz w:val="15"/>
          <w:szCs w:val="15"/>
          <w:color w:val="auto"/>
        </w:rPr>
        <w:t>The effects of the COVID-19 pandemic have led us to reimagine the way we work, resulting in our announcement in October 2020 of our shift to a Virtual First work model pursuant to which remote work has become the primary experience for all of our employees. As a result, we expect that our workforce will continue becoming more distributed over time, although we will continue to offer our employees opportunities for in-person collaboration in all locations we currently have offices, either through our existing real-estate, or new on-demand, flexible spaces, which are known as "Dropbox Studios". Consistent with this strategy, we have retained a portion of our office space while the remainder will be subleased. In the fourth quarter of 2021, we executed a partial termination of our headquarters head lease and the related sublease for the space. See Note 9, "Leases" for additional information. We recorded impairment charges of $31.3 million during the year ended December 31, 2021 related to the continued adoption of Virtual First, including impairment related to real estate assets acquired as part of our acquisition of DocSend. We recorded an impairment charge of $398.2 million in the year ended December 31, 2020. See Note 9, "Leases" for additional information. We may incur additional charges depending on the continued recovery of the global real estate market. In addition to generating sublease income, we expect that as a result of our shift to Virtual First we will continue to see certain savings that we experienced as a result of the COVID-19 pandemic in areas, including reductions in facilities related costs and depreciation expense due to the impairment charges related to the continued adoption of Virtual First.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Reduction in Force</w:t>
      </w:r>
    </w:p>
    <w:p>
      <w:pPr>
        <w:spacing w:after="0" w:line="256"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On January 13, 2021, we announced a reduction of our global workforce by approximately 11% to streamline our team structure in support of our business priorities. As a result, during the year ended December 31, 2021, we incurred $14.3 million of expenses related to severance, benefits, and other related items. We do not expect to incur additional expenses of any significance related to our reduction in force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125"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9"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206"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spacing w:after="0" w:line="202" w:lineRule="exact"/>
        <w:rPr>
          <w:sz w:val="20"/>
          <w:szCs w:val="20"/>
          <w:color w:val="auto"/>
        </w:rPr>
      </w:pPr>
    </w:p>
    <w:p>
      <w:pPr>
        <w:ind w:right="120" w:firstLine="433"/>
        <w:spacing w:after="0" w:line="273" w:lineRule="auto"/>
        <w:rPr>
          <w:sz w:val="20"/>
          <w:szCs w:val="20"/>
          <w:color w:val="auto"/>
        </w:rPr>
      </w:pPr>
      <w:r>
        <w:rPr>
          <w:rFonts w:ascii="Arial" w:cs="Arial" w:eastAsia="Arial" w:hAnsi="Arial"/>
          <w:sz w:val="17"/>
          <w:szCs w:val="17"/>
          <w:color w:val="auto"/>
        </w:rPr>
        <w:t>We experienced an increase in ARR during the year ended December 31, 2021, as compared to the year ended December 31, 2020. The increase in ARR was primarily driven by an increase in paying users across our product portfolio, as well as an increased mix of sales going to our higher-priced subscription plans. In addition, we acquired DocSend in the first quarter of 2021, resulting in a benefit to Total ARR.</w:t>
      </w:r>
    </w:p>
    <w:p>
      <w:pPr>
        <w:spacing w:after="0" w:line="198" w:lineRule="exact"/>
        <w:rPr>
          <w:sz w:val="20"/>
          <w:szCs w:val="20"/>
          <w:color w:val="auto"/>
        </w:rPr>
      </w:pPr>
    </w:p>
    <w:p>
      <w:pPr>
        <w:ind w:right="320" w:firstLine="172"/>
        <w:spacing w:after="0" w:line="289"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2021.</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center"/>
              <w:ind w:right="253"/>
              <w:spacing w:after="0"/>
              <w:rPr>
                <w:sz w:val="20"/>
                <w:szCs w:val="20"/>
                <w:color w:val="auto"/>
              </w:rPr>
            </w:pPr>
            <w:r>
              <w:rPr>
                <w:rFonts w:ascii="Arial" w:cs="Arial" w:eastAsia="Arial" w:hAnsi="Arial"/>
                <w:sz w:val="17"/>
                <w:szCs w:val="17"/>
                <w:b w:val="1"/>
                <w:bCs w:val="1"/>
                <w:color w:val="auto"/>
                <w:w w:val="91"/>
              </w:rPr>
              <w:t>As of December 31,</w:t>
            </w:r>
          </w:p>
        </w:tc>
      </w:tr>
      <w:tr>
        <w:trPr>
          <w:trHeight w:val="216"/>
        </w:trPr>
        <w:tc>
          <w:tcPr>
            <w:tcW w:w="8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174"/>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657"/>
              <w:spacing w:after="0"/>
              <w:rPr>
                <w:sz w:val="20"/>
                <w:szCs w:val="20"/>
                <w:color w:val="auto"/>
              </w:rPr>
            </w:pPr>
            <w:r>
              <w:rPr>
                <w:rFonts w:ascii="Arial" w:cs="Arial" w:eastAsia="Arial" w:hAnsi="Arial"/>
                <w:sz w:val="14"/>
                <w:szCs w:val="14"/>
                <w:i w:val="1"/>
                <w:iCs w:val="1"/>
                <w:color w:val="auto"/>
                <w:w w:val="97"/>
              </w:rPr>
              <w:t>(In millions)</w:t>
            </w:r>
          </w:p>
        </w:tc>
        <w:tc>
          <w:tcPr>
            <w:tcW w:w="1100" w:type="dxa"/>
            <w:vAlign w:val="bottom"/>
          </w:tcPr>
          <w:p>
            <w:pPr>
              <w:spacing w:after="0"/>
              <w:rPr>
                <w:sz w:val="15"/>
                <w:szCs w:val="15"/>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2,261</w:t>
            </w:r>
          </w:p>
        </w:tc>
        <w:tc>
          <w:tcPr>
            <w:tcW w:w="5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r>
      <w:tr>
        <w:trPr>
          <w:trHeight w:val="642"/>
        </w:trPr>
        <w:tc>
          <w:tcPr>
            <w:tcW w:w="8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273"/>
              <w:spacing w:after="0"/>
              <w:rPr>
                <w:sz w:val="20"/>
                <w:szCs w:val="20"/>
                <w:color w:val="auto"/>
              </w:rPr>
            </w:pPr>
            <w:r>
              <w:rPr>
                <w:rFonts w:ascii="Arial" w:cs="Arial" w:eastAsia="Arial" w:hAnsi="Arial"/>
                <w:sz w:val="17"/>
                <w:szCs w:val="17"/>
                <w:b w:val="1"/>
                <w:bCs w:val="1"/>
                <w:color w:val="auto"/>
                <w:w w:val="92"/>
              </w:rPr>
              <w:t>As of December 31,</w:t>
            </w:r>
          </w:p>
        </w:tc>
      </w:tr>
      <w:tr>
        <w:trPr>
          <w:trHeight w:val="216"/>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Constant Currency</w:t>
            </w:r>
          </w:p>
        </w:tc>
        <w:tc>
          <w:tcPr>
            <w:tcW w:w="340" w:type="dxa"/>
            <w:vAlign w:val="bottom"/>
          </w:tcPr>
          <w:p>
            <w:pPr>
              <w:spacing w:after="0"/>
              <w:rPr>
                <w:sz w:val="18"/>
                <w:szCs w:val="18"/>
                <w:color w:val="auto"/>
              </w:rPr>
            </w:pPr>
          </w:p>
        </w:tc>
        <w:tc>
          <w:tcPr>
            <w:tcW w:w="1240" w:type="dxa"/>
            <w:vAlign w:val="bottom"/>
          </w:tcPr>
          <w:p>
            <w:pPr>
              <w:jc w:val="right"/>
              <w:ind w:right="557"/>
              <w:spacing w:after="0"/>
              <w:rPr>
                <w:sz w:val="20"/>
                <w:szCs w:val="20"/>
                <w:color w:val="auto"/>
              </w:rPr>
            </w:pPr>
            <w:r>
              <w:rPr>
                <w:rFonts w:ascii="Arial" w:cs="Arial" w:eastAsia="Arial" w:hAnsi="Arial"/>
                <w:sz w:val="17"/>
                <w:szCs w:val="17"/>
                <w:b w:val="1"/>
                <w:bCs w:val="1"/>
                <w:color w:val="auto"/>
              </w:rPr>
              <w:t>2021</w:t>
            </w:r>
          </w:p>
        </w:tc>
        <w:tc>
          <w:tcPr>
            <w:tcW w:w="520" w:type="dxa"/>
            <w:vAlign w:val="bottom"/>
          </w:tcPr>
          <w:p>
            <w:pPr>
              <w:spacing w:after="0"/>
              <w:rPr>
                <w:sz w:val="18"/>
                <w:szCs w:val="18"/>
                <w:color w:val="auto"/>
              </w:rPr>
            </w:pPr>
          </w:p>
        </w:tc>
        <w:tc>
          <w:tcPr>
            <w:tcW w:w="1100" w:type="dxa"/>
            <w:vAlign w:val="bottom"/>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174"/>
        </w:trPr>
        <w:tc>
          <w:tcPr>
            <w:tcW w:w="80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tcPr>
          <w:p>
            <w:pPr>
              <w:jc w:val="center"/>
              <w:ind w:left="657"/>
              <w:spacing w:after="0"/>
              <w:rPr>
                <w:sz w:val="20"/>
                <w:szCs w:val="20"/>
                <w:color w:val="auto"/>
              </w:rPr>
            </w:pPr>
            <w:r>
              <w:rPr>
                <w:rFonts w:ascii="Arial" w:cs="Arial" w:eastAsia="Arial" w:hAnsi="Arial"/>
                <w:sz w:val="14"/>
                <w:szCs w:val="14"/>
                <w:i w:val="1"/>
                <w:iCs w:val="1"/>
                <w:color w:val="auto"/>
                <w:w w:val="97"/>
              </w:rPr>
              <w:t>(In millions)</w:t>
            </w:r>
          </w:p>
        </w:tc>
        <w:tc>
          <w:tcPr>
            <w:tcW w:w="1100" w:type="dxa"/>
            <w:vAlign w:val="bottom"/>
            <w:tcBorders>
              <w:top w:val="single" w:sz="8" w:color="auto"/>
            </w:tcBorders>
          </w:tcPr>
          <w:p>
            <w:pPr>
              <w:spacing w:after="0"/>
              <w:rPr>
                <w:sz w:val="15"/>
                <w:szCs w:val="15"/>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2,261</w:t>
            </w:r>
          </w:p>
        </w:tc>
        <w:tc>
          <w:tcPr>
            <w:tcW w:w="5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w:t>
            </w:r>
          </w:p>
        </w:tc>
      </w:tr>
    </w:tbl>
    <w:p>
      <w:pPr>
        <w:spacing w:after="0" w:line="315" w:lineRule="exact"/>
        <w:rPr>
          <w:sz w:val="20"/>
          <w:szCs w:val="20"/>
          <w:color w:val="auto"/>
        </w:rPr>
      </w:pPr>
    </w:p>
    <w:p>
      <w:pPr>
        <w:ind w:right="500" w:firstLine="175"/>
        <w:spacing w:after="0" w:line="289" w:lineRule="auto"/>
        <w:rPr>
          <w:sz w:val="20"/>
          <w:szCs w:val="20"/>
          <w:color w:val="auto"/>
        </w:rPr>
      </w:pPr>
      <w:r>
        <w:rPr>
          <w:rFonts w:ascii="Arial" w:cs="Arial" w:eastAsia="Arial" w:hAnsi="Arial"/>
          <w:sz w:val="17"/>
          <w:szCs w:val="17"/>
          <w:color w:val="auto"/>
        </w:rPr>
        <w:t>Revaluing our ending Total ARR for fiscal 2021 using exchange rates set at the beginning of fiscal 2022, Total ARR at the end of fiscal 2021 would be $2,250 million.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Paying users</w:t>
      </w:r>
    </w:p>
    <w:p>
      <w:pPr>
        <w:spacing w:after="0" w:line="119" w:lineRule="exact"/>
        <w:rPr>
          <w:sz w:val="20"/>
          <w:szCs w:val="20"/>
          <w:color w:val="auto"/>
        </w:rPr>
      </w:pPr>
    </w:p>
    <w:p>
      <w:pPr>
        <w:ind w:right="360" w:firstLine="433"/>
        <w:spacing w:after="0" w:line="268"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202"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85"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We define DocSend paying users as the number of users who have active paid licenses for access to our platform as of the end of the period. DocSend users have been included as paying users since our acquisition of DocSend in 2021.</w:t>
      </w:r>
    </w:p>
    <w:p>
      <w:pPr>
        <w:spacing w:after="0" w:line="185"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December 31, 2021 and 2020:</w:t>
      </w:r>
    </w:p>
    <w:p>
      <w:pPr>
        <w:spacing w:after="0" w:line="389" w:lineRule="exact"/>
        <w:rPr>
          <w:sz w:val="20"/>
          <w:szCs w:val="20"/>
          <w:color w:val="auto"/>
        </w:rPr>
      </w:pPr>
    </w:p>
    <w:p>
      <w:pPr>
        <w:ind w:left="8900"/>
        <w:spacing w:after="0"/>
        <w:rPr>
          <w:sz w:val="20"/>
          <w:szCs w:val="20"/>
          <w:color w:val="auto"/>
        </w:rPr>
      </w:pPr>
      <w:r>
        <w:rPr>
          <w:rFonts w:ascii="Arial" w:cs="Arial" w:eastAsia="Arial" w:hAnsi="Arial"/>
          <w:sz w:val="17"/>
          <w:szCs w:val="17"/>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11"/>
        </w:trPr>
        <w:tc>
          <w:tcPr>
            <w:tcW w:w="8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18"/>
                <w:szCs w:val="18"/>
                <w:color w:val="auto"/>
              </w:rPr>
            </w:pPr>
          </w:p>
        </w:tc>
      </w:tr>
      <w:tr>
        <w:trPr>
          <w:trHeight w:val="228"/>
        </w:trPr>
        <w:tc>
          <w:tcPr>
            <w:tcW w:w="9040" w:type="dxa"/>
            <w:vAlign w:val="bottom"/>
            <w:gridSpan w:val="2"/>
            <w:shd w:val="clear" w:color="auto" w:fill="CCEEFF"/>
          </w:tcPr>
          <w:p>
            <w:pPr>
              <w:jc w:val="right"/>
              <w:ind w:right="8033"/>
              <w:spacing w:after="0"/>
              <w:rPr>
                <w:sz w:val="20"/>
                <w:szCs w:val="20"/>
                <w:color w:val="auto"/>
              </w:rPr>
            </w:pPr>
            <w:r>
              <w:rPr>
                <w:rFonts w:ascii="Arial" w:cs="Arial" w:eastAsia="Arial" w:hAnsi="Arial"/>
                <w:sz w:val="17"/>
                <w:szCs w:val="17"/>
                <w:color w:val="auto"/>
                <w:w w:val="91"/>
              </w:rPr>
              <w:t>Paying users</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9" w:lineRule="exact"/>
        <w:rPr>
          <w:sz w:val="20"/>
          <w:szCs w:val="20"/>
          <w:color w:val="auto"/>
        </w:rPr>
      </w:pPr>
    </w:p>
    <w:p>
      <w:pPr>
        <w:jc w:val="both"/>
        <w:ind w:right="460" w:firstLine="433"/>
        <w:spacing w:after="0" w:line="268"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experienced an increase in our average revenue per paying user for the year ended December 31, 2021, compared to the year ended December 31,</w:t>
      </w:r>
    </w:p>
    <w:p>
      <w:pPr>
        <w:spacing w:after="0" w:line="3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2020 primarily due to an increased mix of sales toward our higher-priced subscription plans and the acquisition of DocSend, as well as favorable foreign exchange rates across multiple currencies.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below table sets forth our ARPU for the years ended December 31, 2021 and 2020:</w:t>
      </w:r>
    </w:p>
    <w:p>
      <w:pPr>
        <w:spacing w:after="0" w:line="389" w:lineRule="exact"/>
        <w:rPr>
          <w:sz w:val="20"/>
          <w:szCs w:val="20"/>
          <w:color w:val="auto"/>
        </w:rPr>
      </w:pPr>
    </w:p>
    <w:p>
      <w:pPr>
        <w:jc w:val="center"/>
        <w:ind w:left="784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4991100</wp:posOffset>
            </wp:positionH>
            <wp:positionV relativeFrom="paragraph">
              <wp:posOffset>20955</wp:posOffset>
            </wp:positionV>
            <wp:extent cx="21482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21" w:lineRule="exact"/>
        <w:rPr>
          <w:sz w:val="20"/>
          <w:szCs w:val="20"/>
          <w:color w:val="auto"/>
        </w:rPr>
      </w:pPr>
    </w:p>
    <w:p>
      <w:pPr>
        <w:ind w:left="8500"/>
        <w:spacing w:after="0"/>
        <w:tabs>
          <w:tab w:leader="none" w:pos="1022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130" cy="141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4991100</wp:posOffset>
            </wp:positionH>
            <wp:positionV relativeFrom="paragraph">
              <wp:posOffset>20955</wp:posOffset>
            </wp:positionV>
            <wp:extent cx="21482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7860" w:val="left"/>
          <w:tab w:leader="none" w:pos="8920" w:val="left"/>
          <w:tab w:leader="none" w:pos="9600" w:val="left"/>
          <w:tab w:leader="none" w:pos="10680" w:val="left"/>
        </w:tabs>
        <w:rPr>
          <w:sz w:val="20"/>
          <w:szCs w:val="20"/>
          <w:color w:val="auto"/>
        </w:rPr>
      </w:pPr>
      <w:r>
        <w:rPr>
          <w:rFonts w:ascii="Arial" w:cs="Arial" w:eastAsia="Arial" w:hAnsi="Arial"/>
          <w:sz w:val="17"/>
          <w:szCs w:val="17"/>
          <w:color w:val="auto"/>
        </w:rPr>
        <w:t>ARPU</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133.73</w:t>
        <w:tab/>
        <w:t>$</w:t>
      </w:r>
      <w:r>
        <w:rPr>
          <w:sz w:val="20"/>
          <w:szCs w:val="20"/>
          <w:color w:val="auto"/>
        </w:rPr>
        <w:tab/>
      </w:r>
      <w:r>
        <w:rPr>
          <w:rFonts w:ascii="Arial" w:cs="Arial" w:eastAsia="Arial" w:hAnsi="Arial"/>
          <w:sz w:val="15"/>
          <w:szCs w:val="15"/>
          <w:color w:val="auto"/>
        </w:rPr>
        <w:t>128.50</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316"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Our FCF increased for the year ended December 31, 2021, compared to the year ended December 31, 2020, primarily due to an increase in cash provided by operating activities, which was driven by increased subscription sales, as a majority of our paying users are invoiced in advance, and a decrease in capital expenditures as a result of decreased spend on office build-outs.</w:t>
      </w:r>
    </w:p>
    <w:p>
      <w:pPr>
        <w:spacing w:after="0" w:line="198"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We expect our FCF to generally increase in future periods as we increase subscription sales and reduce our capital expenditures as we shift to a Virtual First environment. Although we expect to continue to purchase infrastructure equipment to support our user base, we anticipate that our capital expenditures related to building out our office spaces will continue to decline in future periods. The timing of our operating expenses as described below, may result in FCF to vary from period to period as a percentage of revenue.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2820" w:type="dxa"/>
            <w:vAlign w:val="bottom"/>
            <w:tcBorders>
              <w:bottom w:val="single" w:sz="8" w:color="auto"/>
            </w:tcBorders>
            <w:gridSpan w:val="4"/>
          </w:tcPr>
          <w:p>
            <w:pPr>
              <w:jc w:val="center"/>
              <w:ind w:left="473"/>
              <w:spacing w:after="0"/>
              <w:rPr>
                <w:sz w:val="20"/>
                <w:szCs w:val="20"/>
                <w:color w:val="auto"/>
              </w:rPr>
            </w:pPr>
            <w:r>
              <w:rPr>
                <w:rFonts w:ascii="Arial" w:cs="Arial" w:eastAsia="Arial" w:hAnsi="Arial"/>
                <w:sz w:val="17"/>
                <w:szCs w:val="17"/>
                <w:b w:val="1"/>
                <w:bCs w:val="1"/>
                <w:color w:val="auto"/>
                <w:w w:val="91"/>
              </w:rPr>
              <w:t>Year ended December 31,</w:t>
            </w:r>
          </w:p>
        </w:tc>
        <w:tc>
          <w:tcPr>
            <w:tcW w:w="540" w:type="dxa"/>
            <w:vAlign w:val="bottom"/>
            <w:tcBorders>
              <w:bottom w:val="single" w:sz="8" w:color="auto"/>
            </w:tcBorders>
          </w:tcPr>
          <w:p>
            <w:pPr>
              <w:spacing w:after="0"/>
              <w:rPr>
                <w:sz w:val="19"/>
                <w:szCs w:val="19"/>
                <w:color w:val="auto"/>
              </w:rPr>
            </w:pPr>
          </w:p>
        </w:tc>
      </w:tr>
      <w:tr>
        <w:trPr>
          <w:trHeight w:val="216"/>
        </w:trPr>
        <w:tc>
          <w:tcPr>
            <w:tcW w:w="78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11"/>
        </w:trPr>
        <w:tc>
          <w:tcPr>
            <w:tcW w:w="7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3"/>
          </w:tcPr>
          <w:p>
            <w:pPr>
              <w:jc w:val="center"/>
              <w:ind w:right="433"/>
              <w:spacing w:after="0"/>
              <w:rPr>
                <w:sz w:val="20"/>
                <w:szCs w:val="20"/>
                <w:color w:val="auto"/>
              </w:rPr>
            </w:pPr>
            <w:r>
              <w:rPr>
                <w:rFonts w:ascii="Arial" w:cs="Arial" w:eastAsia="Arial" w:hAnsi="Arial"/>
                <w:sz w:val="14"/>
                <w:szCs w:val="14"/>
                <w:i w:val="1"/>
                <w:iCs w:val="1"/>
                <w:color w:val="auto"/>
                <w:w w:val="97"/>
              </w:rPr>
              <w:t>(In millions)</w:t>
            </w:r>
          </w:p>
        </w:tc>
        <w:tc>
          <w:tcPr>
            <w:tcW w:w="540" w:type="dxa"/>
            <w:vAlign w:val="bottom"/>
          </w:tcPr>
          <w:p>
            <w:pPr>
              <w:spacing w:after="0"/>
              <w:rPr>
                <w:sz w:val="18"/>
                <w:szCs w:val="18"/>
                <w:color w:val="auto"/>
              </w:rPr>
            </w:pPr>
          </w:p>
        </w:tc>
      </w:tr>
      <w:tr>
        <w:trPr>
          <w:trHeight w:val="228"/>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7"/>
                <w:szCs w:val="17"/>
                <w:color w:val="auto"/>
              </w:rPr>
              <w:t>729.8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570.8</w:t>
            </w:r>
          </w:p>
        </w:tc>
      </w:tr>
      <w:tr>
        <w:trPr>
          <w:trHeight w:val="223"/>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8"/>
              </w:rPr>
              <w:t>(22.1)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4"/>
              </w:rPr>
              <w:t>(80.1)</w:t>
            </w:r>
          </w:p>
        </w:tc>
      </w:tr>
      <w:tr>
        <w:trPr>
          <w:trHeight w:val="241"/>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707.7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490.7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50"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9" w:lineRule="exact"/>
        <w:rPr>
          <w:sz w:val="20"/>
          <w:szCs w:val="20"/>
          <w:color w:val="auto"/>
        </w:rPr>
      </w:pPr>
    </w:p>
    <w:p>
      <w:pPr>
        <w:ind w:right="40" w:firstLine="433"/>
        <w:spacing w:after="0" w:line="27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right="160" w:firstLine="433"/>
        <w:spacing w:after="0" w:line="289"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85" w:lineRule="exact"/>
        <w:rPr>
          <w:sz w:val="20"/>
          <w:szCs w:val="20"/>
          <w:color w:val="auto"/>
        </w:rPr>
      </w:pPr>
    </w:p>
    <w:p>
      <w:pPr>
        <w:ind w:right="120" w:firstLine="433"/>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gross profit expressed as a percentage of revenue. Our gross margin may fluctuate from period to period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9" w:lineRule="exact"/>
        <w:rPr>
          <w:sz w:val="20"/>
          <w:szCs w:val="20"/>
          <w:color w:val="auto"/>
        </w:rPr>
      </w:pPr>
    </w:p>
    <w:p>
      <w:pPr>
        <w:ind w:right="20" w:firstLine="433"/>
        <w:spacing w:after="0" w:line="286"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89" w:lineRule="exact"/>
        <w:rPr>
          <w:sz w:val="20"/>
          <w:szCs w:val="20"/>
          <w:color w:val="auto"/>
        </w:rPr>
      </w:pPr>
    </w:p>
    <w:p>
      <w:pPr>
        <w:ind w:right="340" w:firstLine="433"/>
        <w:spacing w:after="0" w:line="322"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162" w:lineRule="exact"/>
        <w:rPr>
          <w:sz w:val="20"/>
          <w:szCs w:val="20"/>
          <w:color w:val="auto"/>
        </w:rPr>
      </w:pPr>
    </w:p>
    <w:p>
      <w:pPr>
        <w:ind w:right="100" w:firstLine="433"/>
        <w:spacing w:after="0" w:line="309"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75" w:lineRule="exact"/>
        <w:rPr>
          <w:sz w:val="20"/>
          <w:szCs w:val="20"/>
          <w:color w:val="auto"/>
        </w:rPr>
      </w:pPr>
    </w:p>
    <w:p>
      <w:pPr>
        <w:ind w:right="40" w:firstLine="433"/>
        <w:spacing w:after="0" w:line="326" w:lineRule="auto"/>
        <w:rPr>
          <w:sz w:val="20"/>
          <w:szCs w:val="20"/>
          <w:color w:val="auto"/>
        </w:rPr>
      </w:pPr>
      <w:r>
        <w:rPr>
          <w:rFonts w:ascii="Arial" w:cs="Arial" w:eastAsia="Arial" w:hAnsi="Arial"/>
          <w:sz w:val="15"/>
          <w:szCs w:val="15"/>
          <w:color w:val="auto"/>
        </w:rPr>
        <w:t>We plan to continue to invest in sales and marketing to grow our user base and increase our brand awareness, including marketing efforts to continue to drive our self-serve business model. We expect that sales and marketing expenses will generally increase in absolute dollars in future periods and fluctuate from period to period as a percentage of revenue. The trend and timing of sales and marketing expenses will depend in part on the timing of marketing campaigns.</w:t>
      </w:r>
    </w:p>
    <w:p>
      <w:pPr>
        <w:spacing w:after="0" w:line="163"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non-income-based taxes.</w:t>
      </w:r>
    </w:p>
    <w:p>
      <w:pPr>
        <w:spacing w:after="0" w:line="198"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We expect to incur additional general and administrative expenses to support the growth of the Company. General and administrative expenses include the recognition of stock-based compensation expense related to the grant of restricted stock</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made to our co-founder. We expect that general and administrative expenses will fluctuate in absolute dollars in future periods and will generally decrease as a percentage of revenue.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19" w:lineRule="exact"/>
        <w:rPr>
          <w:sz w:val="20"/>
          <w:szCs w:val="20"/>
          <w:color w:val="auto"/>
        </w:rPr>
      </w:pPr>
    </w:p>
    <w:p>
      <w:pPr>
        <w:ind w:right="120" w:firstLine="433"/>
        <w:spacing w:after="0" w:line="322"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 and amortization of debt issuance costs.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9" w:lineRule="exact"/>
        <w:rPr>
          <w:sz w:val="20"/>
          <w:szCs w:val="20"/>
          <w:color w:val="auto"/>
        </w:rPr>
      </w:pPr>
    </w:p>
    <w:p>
      <w:pPr>
        <w:ind w:right="280" w:firstLine="433"/>
        <w:spacing w:after="0" w:line="360" w:lineRule="auto"/>
        <w:rPr>
          <w:sz w:val="20"/>
          <w:szCs w:val="20"/>
          <w:color w:val="auto"/>
        </w:rPr>
      </w:pPr>
      <w:r>
        <w:rPr>
          <w:rFonts w:ascii="Arial" w:cs="Arial" w:eastAsia="Arial" w:hAnsi="Arial"/>
          <w:sz w:val="15"/>
          <w:szCs w:val="15"/>
          <w:color w:val="auto"/>
        </w:rPr>
        <w:t>Other income, net consists of other non-operating gains or losses, including those related to equity investments, disposal of assets, lease arrangements, which include sublease income, foreign currency transaction gains and losses, and realized gains and losses related to our short-term investments.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19"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changes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and state as we have concluded that it is not more likely than not that the deferred assets will be realized.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86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7"/>
                <w:szCs w:val="17"/>
                <w:b w:val="1"/>
                <w:bCs w:val="1"/>
                <w:color w:val="auto"/>
              </w:rPr>
              <w:t>Year ended December 31,</w:t>
            </w:r>
          </w:p>
        </w:tc>
        <w:tc>
          <w:tcPr>
            <w:tcW w:w="620" w:type="dxa"/>
            <w:vAlign w:val="bottom"/>
            <w:tcBorders>
              <w:bottom w:val="single" w:sz="8" w:color="auto"/>
            </w:tcBorders>
          </w:tcPr>
          <w:p>
            <w:pPr>
              <w:spacing w:after="0"/>
              <w:rPr>
                <w:sz w:val="19"/>
                <w:szCs w:val="19"/>
                <w:color w:val="auto"/>
              </w:rPr>
            </w:pPr>
          </w:p>
        </w:tc>
      </w:tr>
      <w:tr>
        <w:trPr>
          <w:trHeight w:val="216"/>
        </w:trPr>
        <w:tc>
          <w:tcPr>
            <w:tcW w:w="77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11"/>
        </w:trPr>
        <w:tc>
          <w:tcPr>
            <w:tcW w:w="7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gridSpan w:val="3"/>
          </w:tcPr>
          <w:p>
            <w:pPr>
              <w:jc w:val="right"/>
              <w:ind w:right="693"/>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8"/>
                <w:szCs w:val="18"/>
                <w:color w:val="auto"/>
              </w:rPr>
            </w:pPr>
          </w:p>
        </w:tc>
      </w:tr>
      <w:tr>
        <w:trPr>
          <w:trHeight w:val="228"/>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2,157.9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1,913.9</w:t>
            </w:r>
          </w:p>
        </w:tc>
      </w:tr>
      <w:tr>
        <w:trPr>
          <w:trHeight w:val="223"/>
        </w:trPr>
        <w:tc>
          <w:tcPr>
            <w:tcW w:w="7760" w:type="dxa"/>
            <w:vAlign w:val="bottom"/>
            <w:tcBorders>
              <w:bottom w:val="single" w:sz="8" w:color="CCEEFF"/>
            </w:tcBorders>
          </w:tcPr>
          <w:p>
            <w:pPr>
              <w:ind w:left="380"/>
              <w:spacing w:after="0" w:line="223" w:lineRule="exact"/>
              <w:rPr>
                <w:sz w:val="20"/>
                <w:szCs w:val="20"/>
                <w:color w:val="auto"/>
              </w:rPr>
            </w:pPr>
            <w:r>
              <w:rPr>
                <w:rFonts w:ascii="Arial" w:cs="Arial" w:eastAsia="Arial" w:hAnsi="Arial"/>
                <w:sz w:val="17"/>
                <w:szCs w:val="17"/>
                <w:color w:val="auto"/>
              </w:rPr>
              <w:t>Cost of revenue</w:t>
            </w:r>
            <w:r>
              <w:rPr>
                <w:rFonts w:ascii="Arial" w:cs="Arial" w:eastAsia="Arial" w:hAnsi="Arial"/>
                <w:sz w:val="20"/>
                <w:szCs w:val="20"/>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414.6</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1,713.7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1,499.3</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0"/>
                <w:szCs w:val="20"/>
                <w:color w:val="auto"/>
                <w:vertAlign w:val="superscript"/>
              </w:rPr>
              <w:t>(1)</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r>
      <w:tr>
        <w:trPr>
          <w:trHeight w:val="223"/>
        </w:trPr>
        <w:tc>
          <w:tcPr>
            <w:tcW w:w="77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427.5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422.8</w:t>
            </w:r>
          </w:p>
        </w:tc>
      </w:tr>
      <w:tr>
        <w:trPr>
          <w:trHeight w:val="223"/>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r>
      <w:tr>
        <w:trPr>
          <w:trHeight w:val="223"/>
        </w:trPr>
        <w:tc>
          <w:tcPr>
            <w:tcW w:w="7760" w:type="dxa"/>
            <w:vAlign w:val="bottom"/>
            <w:tcBorders>
              <w:bottom w:val="single" w:sz="8" w:color="CCEEFF"/>
            </w:tcBorders>
          </w:tcPr>
          <w:p>
            <w:pPr>
              <w:ind w:left="340"/>
              <w:spacing w:after="0" w:line="223"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398.2</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1,439.3</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1,776.3</w:t>
            </w:r>
          </w:p>
        </w:tc>
      </w:tr>
      <w:tr>
        <w:trPr>
          <w:trHeight w:val="216"/>
        </w:trPr>
        <w:tc>
          <w:tcPr>
            <w:tcW w:w="776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274.4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(277.0)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income, net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r>
      <w:tr>
        <w:trPr>
          <w:trHeight w:val="223"/>
        </w:trPr>
        <w:tc>
          <w:tcPr>
            <w:tcW w:w="776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Benefit from (provision for) income taxes</w:t>
            </w:r>
            <w:r>
              <w:rPr>
                <w:rFonts w:ascii="Arial" w:cs="Arial" w:eastAsia="Arial" w:hAnsi="Arial"/>
                <w:sz w:val="22"/>
                <w:szCs w:val="22"/>
                <w:color w:val="auto"/>
                <w:vertAlign w:val="superscript"/>
              </w:rPr>
              <w:t>(3)</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20" w:hanging="297"/>
        <w:spacing w:after="0"/>
        <w:tabs>
          <w:tab w:leader="none" w:pos="420" w:val="left"/>
        </w:tabs>
        <w:numPr>
          <w:ilvl w:val="0"/>
          <w:numId w:val="29"/>
        </w:numPr>
        <w:rPr>
          <w:rFonts w:ascii="Arial" w:cs="Arial" w:eastAsia="Arial" w:hAnsi="Arial"/>
          <w:sz w:val="20"/>
          <w:szCs w:val="20"/>
          <w:color w:val="auto"/>
          <w:vertAlign w:val="superscript"/>
        </w:rPr>
      </w:pPr>
      <w:r>
        <w:rPr>
          <w:rFonts w:ascii="Arial" w:cs="Arial" w:eastAsia="Arial" w:hAnsi="Arial"/>
          <w:sz w:val="16"/>
          <w:szCs w:val="16"/>
          <w:color w:val="auto"/>
        </w:rPr>
        <w:t>Includes stock-based compensation as follows: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9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7"/>
                <w:szCs w:val="17"/>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r>
      <w:tr>
        <w:trPr>
          <w:trHeight w:val="216"/>
        </w:trPr>
        <w:tc>
          <w:tcPr>
            <w:tcW w:w="776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r>
      <w:tr>
        <w:trPr>
          <w:trHeight w:val="211"/>
        </w:trPr>
        <w:tc>
          <w:tcPr>
            <w:tcW w:w="7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0" w:type="dxa"/>
            <w:vAlign w:val="bottom"/>
            <w:gridSpan w:val="3"/>
          </w:tcPr>
          <w:p>
            <w:pPr>
              <w:jc w:val="right"/>
              <w:ind w:right="753"/>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8"/>
                <w:szCs w:val="18"/>
                <w:color w:val="auto"/>
              </w:rPr>
            </w:pPr>
          </w:p>
        </w:tc>
      </w:tr>
      <w:tr>
        <w:trPr>
          <w:trHeight w:val="228"/>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23"/>
        </w:trPr>
        <w:tc>
          <w:tcPr>
            <w:tcW w:w="776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190.1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174.1</w:t>
            </w:r>
          </w:p>
        </w:tc>
      </w:tr>
      <w:tr>
        <w:trPr>
          <w:trHeight w:val="223"/>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23"/>
        </w:trPr>
        <w:tc>
          <w:tcPr>
            <w:tcW w:w="7760" w:type="dxa"/>
            <w:vAlign w:val="bottom"/>
            <w:tcBorders>
              <w:bottom w:val="single" w:sz="8" w:color="CCEEFF"/>
            </w:tcBorders>
          </w:tcPr>
          <w:p>
            <w:pPr>
              <w:ind w:left="340"/>
              <w:spacing w:after="0" w:line="223"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(4)</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420" w:hanging="297"/>
        <w:spacing w:after="0"/>
        <w:tabs>
          <w:tab w:leader="none" w:pos="4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our decision to shift to a Virtual First work model. See Note 9 "Leases" for further information.</w:t>
      </w:r>
    </w:p>
    <w:p>
      <w:pPr>
        <w:spacing w:after="0" w:line="206" w:lineRule="exact"/>
        <w:rPr>
          <w:rFonts w:ascii="Arial" w:cs="Arial" w:eastAsia="Arial" w:hAnsi="Arial"/>
          <w:sz w:val="18"/>
          <w:szCs w:val="18"/>
          <w:color w:val="auto"/>
          <w:vertAlign w:val="superscript"/>
        </w:rPr>
      </w:pPr>
    </w:p>
    <w:p>
      <w:pPr>
        <w:ind w:left="440" w:right="100" w:hanging="317"/>
        <w:spacing w:after="0" w:line="214" w:lineRule="auto"/>
        <w:tabs>
          <w:tab w:leader="none" w:pos="428" w:val="left"/>
        </w:tabs>
        <w:numPr>
          <w:ilvl w:val="0"/>
          <w:numId w:val="30"/>
        </w:numPr>
        <w:rPr>
          <w:rFonts w:ascii="Arial" w:cs="Arial" w:eastAsia="Arial" w:hAnsi="Arial"/>
          <w:sz w:val="20"/>
          <w:szCs w:val="20"/>
          <w:color w:val="auto"/>
          <w:vertAlign w:val="superscript"/>
        </w:rPr>
      </w:pPr>
      <w:r>
        <w:rPr>
          <w:rFonts w:ascii="Arial" w:cs="Arial" w:eastAsia="Arial" w:hAnsi="Arial"/>
          <w:sz w:val="16"/>
          <w:szCs w:val="16"/>
          <w:color w:val="auto"/>
        </w:rPr>
        <w:t>Fourth quarter and full-year 2021 net income was impacted by a $38.1 million one-time income tax benefit from the release of a valuation allowance on our Irish deferred tax assets.</w:t>
      </w:r>
    </w:p>
    <w:p>
      <w:pPr>
        <w:spacing w:after="0" w:line="207" w:lineRule="exact"/>
        <w:rPr>
          <w:rFonts w:ascii="Arial" w:cs="Arial" w:eastAsia="Arial" w:hAnsi="Arial"/>
          <w:sz w:val="20"/>
          <w:szCs w:val="20"/>
          <w:color w:val="auto"/>
          <w:vertAlign w:val="superscript"/>
        </w:rPr>
      </w:pPr>
    </w:p>
    <w:p>
      <w:pPr>
        <w:ind w:left="440" w:right="180" w:hanging="317"/>
        <w:spacing w:after="0" w:line="217" w:lineRule="auto"/>
        <w:tabs>
          <w:tab w:leader="none" w:pos="428" w:val="left"/>
        </w:tabs>
        <w:numPr>
          <w:ilvl w:val="0"/>
          <w:numId w:val="30"/>
        </w:numPr>
        <w:rPr>
          <w:rFonts w:ascii="Arial" w:cs="Arial" w:eastAsia="Arial" w:hAnsi="Arial"/>
          <w:sz w:val="20"/>
          <w:szCs w:val="20"/>
          <w:color w:val="auto"/>
          <w:vertAlign w:val="superscript"/>
        </w:rPr>
      </w:pPr>
      <w:r>
        <w:rPr>
          <w:rFonts w:ascii="Arial" w:cs="Arial" w:eastAsia="Arial" w:hAnsi="Arial"/>
          <w:sz w:val="16"/>
          <w:szCs w:val="16"/>
          <w:color w:val="auto"/>
        </w:rPr>
        <w:t>On March 19, 2020, one of our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each of the periods presented as a percentage of revenue:</w:t>
      </w:r>
    </w:p>
    <w:p>
      <w:pPr>
        <w:spacing w:after="0" w:line="139" w:lineRule="exact"/>
        <w:rPr>
          <w:sz w:val="20"/>
          <w:szCs w:val="20"/>
          <w:color w:val="auto"/>
        </w:rPr>
      </w:pPr>
    </w:p>
    <w:p>
      <w:pPr>
        <w:ind w:left="844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r>
      <w:tr>
        <w:trPr>
          <w:trHeight w:val="255"/>
        </w:trPr>
        <w:tc>
          <w:tcPr>
            <w:tcW w:w="7540" w:type="dxa"/>
            <w:vAlign w:val="bottom"/>
          </w:tcPr>
          <w:p>
            <w:pPr>
              <w:spacing w:after="0"/>
              <w:rPr>
                <w:sz w:val="22"/>
                <w:szCs w:val="22"/>
                <w:color w:val="auto"/>
              </w:rPr>
            </w:pPr>
          </w:p>
        </w:tc>
        <w:tc>
          <w:tcPr>
            <w:tcW w:w="3100" w:type="dxa"/>
            <w:vAlign w:val="bottom"/>
            <w:gridSpan w:val="4"/>
          </w:tcPr>
          <w:p>
            <w:pPr>
              <w:jc w:val="right"/>
              <w:ind w:right="213"/>
              <w:spacing w:after="0"/>
              <w:rPr>
                <w:sz w:val="20"/>
                <w:szCs w:val="20"/>
                <w:color w:val="auto"/>
              </w:rPr>
            </w:pPr>
            <w:r>
              <w:rPr>
                <w:rFonts w:ascii="Arial" w:cs="Arial" w:eastAsia="Arial" w:hAnsi="Arial"/>
                <w:sz w:val="17"/>
                <w:szCs w:val="17"/>
                <w:i w:val="1"/>
                <w:iCs w:val="1"/>
                <w:color w:val="auto"/>
              </w:rPr>
              <w:t>As a percentage of revenue</w:t>
            </w:r>
          </w:p>
        </w:tc>
        <w:tc>
          <w:tcPr>
            <w:tcW w:w="600" w:type="dxa"/>
            <w:vAlign w:val="bottom"/>
          </w:tcPr>
          <w:p>
            <w:pPr>
              <w:spacing w:after="0"/>
              <w:rPr>
                <w:sz w:val="22"/>
                <w:szCs w:val="22"/>
                <w:color w:val="auto"/>
              </w:rPr>
            </w:pPr>
          </w:p>
        </w:tc>
      </w:tr>
      <w:tr>
        <w:trPr>
          <w:trHeight w:val="22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3"/>
        </w:trPr>
        <w:tc>
          <w:tcPr>
            <w:tcW w:w="8740" w:type="dxa"/>
            <w:vAlign w:val="bottom"/>
            <w:gridSpan w:val="2"/>
          </w:tcPr>
          <w:p>
            <w:pPr>
              <w:ind w:left="380"/>
              <w:spacing w:after="0"/>
              <w:rPr>
                <w:sz w:val="20"/>
                <w:szCs w:val="20"/>
                <w:color w:val="auto"/>
              </w:rPr>
            </w:pPr>
            <w:r>
              <w:rPr>
                <w:rFonts w:ascii="Arial" w:cs="Arial" w:eastAsia="Arial" w:hAnsi="Arial"/>
                <w:sz w:val="17"/>
                <w:szCs w:val="17"/>
                <w:color w:val="auto"/>
              </w:rPr>
              <w:t>Cost of revenue</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22</w:t>
            </w:r>
          </w:p>
        </w:tc>
      </w:tr>
      <w:tr>
        <w:trPr>
          <w:trHeight w:val="21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78</w:t>
            </w: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87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38</w:t>
            </w:r>
          </w:p>
        </w:tc>
      </w:tr>
      <w:tr>
        <w:trPr>
          <w:trHeight w:val="223"/>
        </w:trPr>
        <w:tc>
          <w:tcPr>
            <w:tcW w:w="8740" w:type="dxa"/>
            <w:vAlign w:val="bottom"/>
            <w:gridSpan w:val="2"/>
          </w:tcPr>
          <w:p>
            <w:pPr>
              <w:ind w:left="340"/>
              <w:spacing w:after="0"/>
              <w:rPr>
                <w:sz w:val="20"/>
                <w:szCs w:val="20"/>
                <w:color w:val="auto"/>
              </w:rPr>
            </w:pPr>
            <w:r>
              <w:rPr>
                <w:rFonts w:ascii="Arial" w:cs="Arial" w:eastAsia="Arial" w:hAnsi="Arial"/>
                <w:sz w:val="17"/>
                <w:szCs w:val="17"/>
                <w:color w:val="auto"/>
              </w:rPr>
              <w:t>Sales and marketing</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22</w:t>
            </w:r>
          </w:p>
        </w:tc>
      </w:tr>
      <w:tr>
        <w:trPr>
          <w:trHeight w:val="223"/>
        </w:trPr>
        <w:tc>
          <w:tcPr>
            <w:tcW w:w="87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12</w:t>
            </w:r>
          </w:p>
        </w:tc>
      </w:tr>
      <w:tr>
        <w:trPr>
          <w:trHeight w:val="223"/>
        </w:trPr>
        <w:tc>
          <w:tcPr>
            <w:tcW w:w="8740" w:type="dxa"/>
            <w:vAlign w:val="bottom"/>
            <w:gridSpan w:val="2"/>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21</w:t>
            </w:r>
          </w:p>
        </w:tc>
      </w:tr>
      <w:tr>
        <w:trPr>
          <w:trHeight w:val="22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93</w:t>
            </w:r>
          </w:p>
        </w:tc>
      </w:tr>
      <w:tr>
        <w:trPr>
          <w:trHeight w:val="216"/>
        </w:trPr>
        <w:tc>
          <w:tcPr>
            <w:tcW w:w="754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(14)</w:t>
            </w:r>
          </w:p>
        </w:tc>
      </w:tr>
      <w:tr>
        <w:trPr>
          <w:trHeight w:val="22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1900" w:type="dxa"/>
            <w:vAlign w:val="bottom"/>
            <w:gridSpan w:val="3"/>
            <w:shd w:val="clear" w:color="auto" w:fill="CCEEFF"/>
          </w:tcPr>
          <w:p>
            <w:pPr>
              <w:jc w:val="right"/>
              <w:ind w:right="143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7"/>
                <w:szCs w:val="17"/>
                <w:color w:val="auto"/>
              </w:rPr>
              <w:t>Other income, net</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1</w:t>
            </w:r>
          </w:p>
        </w:tc>
      </w:tr>
      <w:tr>
        <w:trPr>
          <w:trHeight w:val="21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(13)</w:t>
            </w: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41"/>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96"/>
              </w:rPr>
              <w:t>(13)%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Comparison of the year ended December 31, 2021 and 2020</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Revenue</w:t>
      </w:r>
    </w:p>
    <w:p>
      <w:pPr>
        <w:spacing w:after="0" w:line="384"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Year ended</w:t>
      </w:r>
    </w:p>
    <w:p>
      <w:pPr>
        <w:jc w:val="center"/>
        <w:ind w:left="110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right"/>
              <w:ind w:right="73"/>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r>
    </w:tbl>
    <w:p>
      <w:pPr>
        <w:spacing w:after="0" w:line="289"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Revenue increased $244.0 million or 13% during the year ended December 31, 2021, as compared to the year ended December 31, 2020. The increase in revenue was driven primarily by an increase in paying users, an increased mix of sales towards our higher-priced subscription plans and favorable foreign exchange rates across multiple currencies.</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tcPr>
          <w:p>
            <w:pPr>
              <w:ind w:left="44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538"/>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center"/>
              <w:ind w:left="595"/>
              <w:spacing w:after="0"/>
              <w:rPr>
                <w:sz w:val="20"/>
                <w:szCs w:val="20"/>
                <w:color w:val="auto"/>
              </w:rPr>
            </w:pPr>
            <w:r>
              <w:rPr>
                <w:rFonts w:ascii="Arial" w:cs="Arial" w:eastAsia="Arial" w:hAnsi="Arial"/>
                <w:sz w:val="17"/>
                <w:szCs w:val="17"/>
                <w:b w:val="1"/>
                <w:bCs w:val="1"/>
                <w:color w:val="auto"/>
                <w:w w:val="91"/>
              </w:rPr>
              <w:t>Year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3"/>
        </w:trPr>
        <w:tc>
          <w:tcPr>
            <w:tcW w:w="4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7"/>
                <w:szCs w:val="17"/>
                <w:b w:val="1"/>
                <w:bCs w:val="1"/>
                <w:color w:val="auto"/>
                <w:w w:val="92"/>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615"/>
              <w:spacing w:after="0"/>
              <w:rPr>
                <w:sz w:val="20"/>
                <w:szCs w:val="20"/>
                <w:color w:val="auto"/>
              </w:rPr>
            </w:pPr>
            <w:r>
              <w:rPr>
                <w:rFonts w:ascii="Arial" w:cs="Arial" w:eastAsia="Arial" w:hAnsi="Arial"/>
                <w:sz w:val="14"/>
                <w:szCs w:val="14"/>
                <w:i w:val="1"/>
                <w:iCs w:val="1"/>
                <w:color w:val="auto"/>
                <w:w w:val="97"/>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444.2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r>
      <w:tr>
        <w:trPr>
          <w:trHeight w:val="223"/>
        </w:trPr>
        <w:tc>
          <w:tcPr>
            <w:tcW w:w="46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1,713.7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1,499.3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214.4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Cost of revenue increased $29.6 million or 7% during the year ended December 31, 2021, as compared to the year ended December 31, 2020, primarily due to increases of $14.4 million in infrastructure costs due to an increase in depreciation expense, $8.1 million in credit card transaction fees due to higher sales and $6.3 million in employee-related costs. These increases were offset by a decrease of $3.4 million in allocated overhead, which includes facilities-related costs for our corporate headquarters.</w:t>
      </w:r>
    </w:p>
    <w:p>
      <w:pPr>
        <w:spacing w:after="0" w:line="176" w:lineRule="exact"/>
        <w:rPr>
          <w:sz w:val="20"/>
          <w:szCs w:val="20"/>
          <w:color w:val="auto"/>
        </w:rPr>
      </w:pPr>
    </w:p>
    <w:p>
      <w:pPr>
        <w:ind w:right="300" w:firstLine="433"/>
        <w:spacing w:after="0" w:line="322" w:lineRule="auto"/>
        <w:rPr>
          <w:sz w:val="20"/>
          <w:szCs w:val="20"/>
          <w:color w:val="auto"/>
        </w:rPr>
      </w:pPr>
      <w:r>
        <w:rPr>
          <w:rFonts w:ascii="Arial" w:cs="Arial" w:eastAsia="Arial" w:hAnsi="Arial"/>
          <w:sz w:val="16"/>
          <w:szCs w:val="16"/>
          <w:color w:val="auto"/>
        </w:rPr>
        <w:t>Our gross margin increased from 78% during the year ended December 31, 2020 to 79% during the year ended December 31, 2021, primarily due to a 13% increase in revenue during the period, which was offset by a lower percentage increase in our cost of revenue described above.</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Research and development</w:t>
      </w:r>
    </w:p>
    <w:p>
      <w:pPr>
        <w:spacing w:after="0" w:line="384"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r>
    </w:tbl>
    <w:p>
      <w:pPr>
        <w:spacing w:after="0" w:line="289" w:lineRule="exact"/>
        <w:rPr>
          <w:sz w:val="20"/>
          <w:szCs w:val="20"/>
          <w:color w:val="auto"/>
        </w:rPr>
      </w:pPr>
    </w:p>
    <w:p>
      <w:pPr>
        <w:jc w:val="both"/>
        <w:ind w:right="80" w:firstLine="433"/>
        <w:spacing w:after="0" w:line="273" w:lineRule="auto"/>
        <w:rPr>
          <w:sz w:val="20"/>
          <w:szCs w:val="20"/>
          <w:color w:val="auto"/>
        </w:rPr>
      </w:pPr>
      <w:r>
        <w:rPr>
          <w:rFonts w:ascii="Arial" w:cs="Arial" w:eastAsia="Arial" w:hAnsi="Arial"/>
          <w:sz w:val="17"/>
          <w:szCs w:val="17"/>
          <w:color w:val="auto"/>
        </w:rPr>
        <w:t>Research and development expenses increased $28.4 million or 4% during the year ended December 31, 2021, as compared to the year ended December 31, 2020, primarily due to an increase of $45.4 million in employee-related costs. This increase was offset by a decrease of $20.8 million in allocated overhead, which includes facilities-related costs for our corporate headquarters.</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Sales and marketing</w:t>
      </w:r>
    </w:p>
    <w:p>
      <w:pPr>
        <w:spacing w:after="0" w:line="371"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bl>
    <w:p>
      <w:pPr>
        <w:spacing w:after="0" w:line="289" w:lineRule="exact"/>
        <w:rPr>
          <w:sz w:val="20"/>
          <w:szCs w:val="20"/>
          <w:color w:val="auto"/>
        </w:rPr>
      </w:pPr>
    </w:p>
    <w:p>
      <w:pPr>
        <w:ind w:right="120" w:firstLine="433"/>
        <w:spacing w:after="0" w:line="286" w:lineRule="auto"/>
        <w:rPr>
          <w:sz w:val="20"/>
          <w:szCs w:val="20"/>
          <w:color w:val="auto"/>
        </w:rPr>
      </w:pPr>
      <w:r>
        <w:rPr>
          <w:rFonts w:ascii="Arial" w:cs="Arial" w:eastAsia="Arial" w:hAnsi="Arial"/>
          <w:sz w:val="16"/>
          <w:szCs w:val="16"/>
          <w:color w:val="auto"/>
        </w:rPr>
        <w:t>Sales and marketing expenses increased $4.7 million or 1% during the year ended December 31, 2021, as compared to the year ended December 31, 2020, primarily due to $33.7 million related to brand and other marketing related expenses primarily due to our marketing campaigns during the second half of 2021, $6.9 million in app store fees due to increased sales, and $1.5 million in amortization of intangible assets due to our acquisition of DocSend. These increases were offset by decreases of $26.2 million in allocated overhead, which includes facilities-related costs for our corporate headquarters and $12.0 million in employee-related costs driven by a reduction in headcount including the impact of our reduction in force in the first quarter of 2021.</w:t>
      </w: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76" w:lineRule="exact"/>
        <w:rPr>
          <w:sz w:val="20"/>
          <w:szCs w:val="20"/>
          <w:color w:val="auto"/>
        </w:rPr>
      </w:pPr>
    </w:p>
    <w:p>
      <w:pPr>
        <w:ind w:right="120" w:firstLine="433"/>
        <w:spacing w:after="0" w:line="265" w:lineRule="auto"/>
        <w:rPr>
          <w:sz w:val="20"/>
          <w:szCs w:val="20"/>
          <w:color w:val="auto"/>
        </w:rPr>
      </w:pPr>
      <w:r>
        <w:rPr>
          <w:rFonts w:ascii="Arial" w:cs="Arial" w:eastAsia="Arial" w:hAnsi="Arial"/>
          <w:sz w:val="17"/>
          <w:szCs w:val="17"/>
          <w:color w:val="auto"/>
        </w:rPr>
        <w:t>General and administrative expense decreased $3.2 million or 1% during the year ended December 31, 2021, as compared to the year ended December 31, 2020, primarily due to decreases of $16.4 million in allocated overhead, which includes facilities-related costs for our corporate headquarters, $2.3 million in non-income-based taxes and $1.7 million in legal fees. These decreases were offset by increases of $15.3 million due to employee-related costs, including $12.2 million in stock-based compensation driven by the resignation of one of the co-founders and the forfeiture of his Co-Founder Grant in the first quarter of 2020 and $1.3 million in software license subscriptions.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60" w:type="dxa"/>
            <w:vAlign w:val="bottom"/>
          </w:tcPr>
          <w:p>
            <w:pPr>
              <w:ind w:left="440"/>
              <w:spacing w:after="0"/>
              <w:rPr>
                <w:sz w:val="20"/>
                <w:szCs w:val="20"/>
                <w:color w:val="auto"/>
              </w:rPr>
            </w:pPr>
            <w:r>
              <w:rPr>
                <w:rFonts w:ascii="Arial" w:cs="Arial" w:eastAsia="Arial" w:hAnsi="Arial"/>
                <w:sz w:val="17"/>
                <w:szCs w:val="17"/>
                <w:i w:val="1"/>
                <w:iCs w:val="1"/>
                <w:color w:val="auto"/>
              </w:rPr>
              <w:t>Impairment related to real estate assets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7"/>
        </w:trPr>
        <w:tc>
          <w:tcPr>
            <w:tcW w:w="4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Year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3"/>
        </w:trPr>
        <w:tc>
          <w:tcPr>
            <w:tcW w:w="47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2"/>
              </w:rPr>
              <w:t>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47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i w:val="1"/>
                <w:iCs w:val="1"/>
                <w:color w:val="auto"/>
                <w:w w:val="97"/>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54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related to real estate assets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bl>
    <w:p>
      <w:pPr>
        <w:spacing w:after="0" w:line="302" w:lineRule="exact"/>
        <w:rPr>
          <w:sz w:val="20"/>
          <w:szCs w:val="20"/>
          <w:color w:val="auto"/>
        </w:rPr>
      </w:pPr>
    </w:p>
    <w:p>
      <w:pPr>
        <w:ind w:right="20" w:firstLine="433"/>
        <w:spacing w:after="0" w:line="237" w:lineRule="auto"/>
        <w:rPr>
          <w:sz w:val="20"/>
          <w:szCs w:val="20"/>
          <w:color w:val="auto"/>
        </w:rPr>
      </w:pPr>
      <w:r>
        <w:rPr>
          <w:rFonts w:ascii="Arial" w:cs="Arial" w:eastAsia="Arial" w:hAnsi="Arial"/>
          <w:sz w:val="17"/>
          <w:szCs w:val="17"/>
          <w:color w:val="auto"/>
        </w:rPr>
        <w:t>Impairment related to real estate assets was $31.3 million during the year ended December 31, 2021 as we continued to evaluate the recoverability of our real estate assets as a result of our continued adoption of our Virtual First strategy. Adjustments to market participant assumptions, primarily expected downtime prior to the commencement of future subleases, resulted in the additional impairment losses, as well as impairment related to real estate assets acquired as part of the acquisition of DocSend in the first quarter of 2021.</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Interest income, net</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Interest income, net decreased $6.9 million during the year ended December 31, 2021, as compared to the year ended December 31, 2020, primarily due to a decrease in interest income from our money market funds and short-term investments as a result of government-initiated interest rate reductions in response to the COVID-19 pandemic and an increase in interest expense due to the amortization of debt issuance costs incurred as part of our convertible debt offering during the three months ended March 31, 2021.</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Other income, net</w:t>
      </w:r>
    </w:p>
    <w:p>
      <w:pPr>
        <w:spacing w:after="0" w:line="119"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Other income, net increased $5.0 million during the year ended December 31, 2021, as compared to the year ended December 31, 2020, primarily due to a $13.6 million gain related to the partial termination of our headquarters head lease and $14.1 million in gains related to the disposal of infrastructure assets. These increases were offset by $17.5 million in gains related to the sale of an equity investment during the year ended December 31, 2020 and decreases of $4.7 million in foreign currency transaction gains.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119" w:lineRule="exact"/>
        <w:rPr>
          <w:sz w:val="20"/>
          <w:szCs w:val="20"/>
          <w:color w:val="auto"/>
        </w:rPr>
      </w:pPr>
    </w:p>
    <w:p>
      <w:pPr>
        <w:ind w:right="40" w:firstLine="433"/>
        <w:spacing w:after="0" w:line="273" w:lineRule="auto"/>
        <w:rPr>
          <w:sz w:val="20"/>
          <w:szCs w:val="20"/>
          <w:color w:val="auto"/>
        </w:rPr>
      </w:pPr>
      <w:r>
        <w:rPr>
          <w:rFonts w:ascii="Arial" w:cs="Arial" w:eastAsia="Arial" w:hAnsi="Arial"/>
          <w:sz w:val="17"/>
          <w:szCs w:val="17"/>
          <w:color w:val="auto"/>
        </w:rPr>
        <w:t>Benefit from income taxes increased by $42.6 million during the year ended December 31, 2021 as compared to the year ended December 31, 2020, primarily due to tax benefits from the DocSend acquisition and the release of a valuation allowance on Irish deferred tax assets during the year ended December 31,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As of December 31, 2021, we had cash and cash equivalents of $533.0 million and short-term investments of $1,185.1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color w:val="auto"/>
        </w:rPr>
        <w:t>securities. As of December 31, 2021, we had $201.4 million of our cash and cash equivalents held by our foreign subsidiaries. We do not expect to incur material taxes in the event we repatriate any of these amounts.</w:t>
      </w:r>
    </w:p>
    <w:p>
      <w:pPr>
        <w:spacing w:after="0" w:line="185"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Since our inception, we have financed our operations primarily through cash generated from our operations, the issuance of the Notes and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14"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the Company’s failure to comply with certain of its reporting obligations. These Notes can be converted or repurchased prior to maturity if certain conditions are met.</w:t>
      </w:r>
    </w:p>
    <w:p>
      <w:pPr>
        <w:spacing w:after="0" w:line="100" w:lineRule="exact"/>
        <w:rPr>
          <w:sz w:val="20"/>
          <w:szCs w:val="20"/>
          <w:color w:val="auto"/>
        </w:rPr>
      </w:pPr>
    </w:p>
    <w:p>
      <w:pPr>
        <w:ind w:right="60" w:firstLine="393"/>
        <w:spacing w:after="0" w:line="278" w:lineRule="auto"/>
        <w:rPr>
          <w:sz w:val="20"/>
          <w:szCs w:val="20"/>
          <w:color w:val="auto"/>
        </w:rPr>
      </w:pPr>
      <w:r>
        <w:rPr>
          <w:rFonts w:ascii="Arial" w:cs="Arial" w:eastAsia="Arial" w:hAnsi="Arial"/>
          <w:sz w:val="16"/>
          <w:szCs w:val="16"/>
          <w:color w:val="auto"/>
        </w:rPr>
        <w:t xml:space="preserve">Our principal uses of cash in recent periods have been funding our operations, repurchases of our Class A common stock, purchases of short-term investments, the satisfaction of tax withholdings in connection with the settlement of restricted stock units and awards, making principal payments on our finance lease obligations, and capital expenditures. 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In February 2022, our Board of Directors authorized the repurchase of up to an additional $1.2 billion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w:t>
      </w:r>
      <w:r>
        <w:rPr>
          <w:rFonts w:ascii="Arial" w:cs="Arial" w:eastAsia="Arial" w:hAnsi="Arial"/>
          <w:sz w:val="16"/>
          <w:szCs w:val="16"/>
          <w:color w:val="212529"/>
        </w:rPr>
        <w:t>During the year ended December 31,</w:t>
      </w:r>
      <w:r>
        <w:rPr>
          <w:rFonts w:ascii="Arial" w:cs="Arial" w:eastAsia="Arial" w:hAnsi="Arial"/>
          <w:sz w:val="16"/>
          <w:szCs w:val="16"/>
          <w:color w:val="auto"/>
        </w:rPr>
        <w:t xml:space="preserve"> 2021</w:t>
      </w:r>
      <w:r>
        <w:rPr>
          <w:rFonts w:ascii="Arial" w:cs="Arial" w:eastAsia="Arial" w:hAnsi="Arial"/>
          <w:sz w:val="16"/>
          <w:szCs w:val="16"/>
          <w:color w:val="212529"/>
        </w:rPr>
        <w:t>, we repurchased and subsequently retired 41.1 million shares of our Class A common stock for an</w:t>
      </w:r>
      <w:r>
        <w:rPr>
          <w:rFonts w:ascii="Arial" w:cs="Arial" w:eastAsia="Arial" w:hAnsi="Arial"/>
          <w:sz w:val="16"/>
          <w:szCs w:val="16"/>
          <w:color w:val="auto"/>
        </w:rPr>
        <w:t xml:space="preserve"> </w:t>
      </w:r>
      <w:r>
        <w:rPr>
          <w:rFonts w:ascii="Arial" w:cs="Arial" w:eastAsia="Arial" w:hAnsi="Arial"/>
          <w:sz w:val="16"/>
          <w:szCs w:val="16"/>
          <w:color w:val="212529"/>
        </w:rPr>
        <w:t xml:space="preserve">aggregate amount of $1,058.6 million. </w:t>
      </w:r>
      <w:r>
        <w:rPr>
          <w:rFonts w:ascii="Arial" w:cs="Arial" w:eastAsia="Arial" w:hAnsi="Arial"/>
          <w:sz w:val="16"/>
          <w:szCs w:val="16"/>
          <w:color w:val="000000"/>
        </w:rPr>
        <w:t>This includes $200.0 million used to repurchase 8.6 million shares of our Class A common stock in conjunction with the</w:t>
      </w:r>
      <w:r>
        <w:rPr>
          <w:rFonts w:ascii="Arial" w:cs="Arial" w:eastAsia="Arial" w:hAnsi="Arial"/>
          <w:sz w:val="16"/>
          <w:szCs w:val="16"/>
          <w:color w:val="212529"/>
        </w:rPr>
        <w:t xml:space="preserve"> </w:t>
      </w:r>
      <w:r>
        <w:rPr>
          <w:rFonts w:ascii="Arial" w:cs="Arial" w:eastAsia="Arial" w:hAnsi="Arial"/>
          <w:sz w:val="16"/>
          <w:szCs w:val="16"/>
          <w:color w:val="000000"/>
        </w:rPr>
        <w:t>issuance of the Notes, which was outside of our stock repurchase program. The pace of our share repurchases may vary due to various circumstances, including market conditions and our stock price.</w:t>
      </w:r>
    </w:p>
    <w:p>
      <w:pPr>
        <w:spacing w:after="0" w:line="92" w:lineRule="exact"/>
        <w:rPr>
          <w:sz w:val="20"/>
          <w:szCs w:val="20"/>
          <w:color w:val="auto"/>
        </w:rPr>
      </w:pPr>
    </w:p>
    <w:p>
      <w:pPr>
        <w:ind w:firstLine="393"/>
        <w:spacing w:after="0" w:line="231" w:lineRule="auto"/>
        <w:rPr>
          <w:sz w:val="20"/>
          <w:szCs w:val="20"/>
          <w:color w:val="auto"/>
        </w:rPr>
      </w:pPr>
      <w:r>
        <w:rPr>
          <w:rFonts w:ascii="Arial" w:cs="Arial" w:eastAsia="Arial" w:hAnsi="Arial"/>
          <w:sz w:val="17"/>
          <w:szCs w:val="17"/>
          <w:color w:val="auto"/>
        </w:rPr>
        <w:t>In April 2017, we entered into a $600.0 million credit facility with a syndicate of financial institutions, which was subsequently amended in February 2018 and February 2021.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w:t>
      </w:r>
    </w:p>
    <w:p>
      <w:pPr>
        <w:spacing w:after="0" w:line="213"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Interest on borrowings under the revolving credit facility accrues at a variable rate tied to SOFR, the prime rate, or the federal funds effective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113" w:lineRule="exact"/>
        <w:rPr>
          <w:sz w:val="20"/>
          <w:szCs w:val="20"/>
          <w:color w:val="auto"/>
        </w:rPr>
      </w:pPr>
    </w:p>
    <w:p>
      <w:pPr>
        <w:ind w:right="140" w:firstLine="393"/>
        <w:spacing w:after="0" w:line="290" w:lineRule="auto"/>
        <w:rPr>
          <w:sz w:val="20"/>
          <w:szCs w:val="20"/>
          <w:color w:val="auto"/>
        </w:rPr>
      </w:pPr>
      <w:r>
        <w:rPr>
          <w:rFonts w:ascii="Arial" w:cs="Arial" w:eastAsia="Arial" w:hAnsi="Arial"/>
          <w:sz w:val="16"/>
          <w:szCs w:val="16"/>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as of 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80" w:firstLine="393"/>
        <w:spacing w:after="0" w:line="360" w:lineRule="auto"/>
        <w:rPr>
          <w:sz w:val="20"/>
          <w:szCs w:val="20"/>
          <w:color w:val="auto"/>
        </w:rPr>
      </w:pPr>
      <w:r>
        <w:rPr>
          <w:rFonts w:ascii="Arial" w:cs="Arial" w:eastAsia="Arial" w:hAnsi="Arial"/>
          <w:sz w:val="15"/>
          <w:szCs w:val="15"/>
          <w:color w:val="auto"/>
        </w:rPr>
        <w:t>As of December 31, 2021, we had no amounts outstanding under the revolving credit facility and an aggregate of $52.2 million in letters of credit issued under the revolving credit facility. Our total available borrowing capacity under the revolving credit facility was $447.8 million as of December 31, 2021.</w:t>
      </w:r>
    </w:p>
    <w:p>
      <w:pPr>
        <w:spacing w:after="0" w:line="46" w:lineRule="exact"/>
        <w:rPr>
          <w:sz w:val="20"/>
          <w:szCs w:val="20"/>
          <w:color w:val="auto"/>
        </w:rPr>
      </w:pPr>
    </w:p>
    <w:p>
      <w:pPr>
        <w:jc w:val="both"/>
        <w:ind w:right="140" w:firstLine="393"/>
        <w:spacing w:after="0" w:line="273" w:lineRule="auto"/>
        <w:rPr>
          <w:sz w:val="20"/>
          <w:szCs w:val="20"/>
          <w:color w:val="auto"/>
        </w:rPr>
      </w:pPr>
      <w:r>
        <w:rPr>
          <w:rFonts w:ascii="Arial" w:cs="Arial" w:eastAsia="Arial" w:hAnsi="Arial"/>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In addition to the convertible notes discussed above, as of December 31, 2021, we have cash commitments due to additional known contractual obligations.</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cash commitments due to known contractual obligations as of December 31, 2021:</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Less than</w:t>
            </w:r>
          </w:p>
        </w:tc>
        <w:tc>
          <w:tcPr>
            <w:tcW w:w="560" w:type="dxa"/>
            <w:vAlign w:val="bottom"/>
          </w:tcPr>
          <w:p>
            <w:pPr>
              <w:spacing w:after="0"/>
              <w:rPr>
                <w:sz w:val="14"/>
                <w:szCs w:val="14"/>
                <w:color w:val="auto"/>
              </w:rPr>
            </w:pPr>
          </w:p>
        </w:tc>
        <w:tc>
          <w:tcPr>
            <w:tcW w:w="102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1 - 3 years</w:t>
            </w:r>
          </w:p>
        </w:tc>
        <w:tc>
          <w:tcPr>
            <w:tcW w:w="1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9"/>
              </w:rPr>
              <w:t>3 - 5 years</w:t>
            </w:r>
          </w:p>
        </w:tc>
        <w:tc>
          <w:tcPr>
            <w:tcW w:w="12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w w:val="98"/>
              </w:rPr>
              <w:t>1 year</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1"/>
        </w:trPr>
        <w:tc>
          <w:tcPr>
            <w:tcW w:w="2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4"/>
              </w:rPr>
              <w:t>(In millions)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8"/>
              </w:rPr>
              <w:t>Operating lease commitments</w:t>
            </w:r>
            <w:r>
              <w:rPr>
                <w:rFonts w:ascii="Arial" w:cs="Arial" w:eastAsia="Arial" w:hAnsi="Arial"/>
                <w:sz w:val="10"/>
                <w:szCs w:val="10"/>
                <w:color w:val="auto"/>
                <w:w w:val="98"/>
              </w:rPr>
              <w:t>(1)</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23"/>
        </w:trPr>
        <w:tc>
          <w:tcPr>
            <w:tcW w:w="2760" w:type="dxa"/>
            <w:vAlign w:val="bottom"/>
          </w:tcPr>
          <w:p>
            <w:pPr>
              <w:ind w:left="400"/>
              <w:spacing w:after="0"/>
              <w:rPr>
                <w:sz w:val="20"/>
                <w:szCs w:val="20"/>
                <w:color w:val="auto"/>
              </w:rPr>
            </w:pPr>
            <w:r>
              <w:rPr>
                <w:rFonts w:ascii="Arial" w:cs="Arial" w:eastAsia="Arial" w:hAnsi="Arial"/>
                <w:sz w:val="17"/>
                <w:szCs w:val="17"/>
                <w:color w:val="auto"/>
              </w:rPr>
              <w:t>Finance lease commitments</w:t>
            </w:r>
            <w:r>
              <w:rPr>
                <w:rFonts w:ascii="Arial" w:cs="Arial" w:eastAsia="Arial" w:hAnsi="Arial"/>
                <w:sz w:val="10"/>
                <w:szCs w:val="10"/>
                <w:color w:val="auto"/>
              </w:rPr>
              <w:t>(2)</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commitments</w:t>
            </w:r>
            <w:r>
              <w:rPr>
                <w:rFonts w:ascii="Arial" w:cs="Arial" w:eastAsia="Arial" w:hAnsi="Arial"/>
                <w:sz w:val="10"/>
                <w:szCs w:val="10"/>
                <w:color w:val="auto"/>
              </w:rPr>
              <w:t>(3)</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2760" w:type="dxa"/>
            <w:vAlign w:val="bottom"/>
          </w:tcPr>
          <w:p>
            <w:pPr>
              <w:ind w:left="400"/>
              <w:spacing w:after="0"/>
              <w:rPr>
                <w:sz w:val="20"/>
                <w:szCs w:val="20"/>
                <w:color w:val="auto"/>
              </w:rPr>
            </w:pPr>
            <w:r>
              <w:rPr>
                <w:rFonts w:ascii="Arial" w:cs="Arial" w:eastAsia="Arial" w:hAnsi="Arial"/>
                <w:sz w:val="17"/>
                <w:szCs w:val="17"/>
                <w:color w:val="auto"/>
              </w:rPr>
              <w:t>Total contractual obligations</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383.9</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168.0</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right="240" w:hanging="320"/>
        <w:spacing w:after="0" w:line="226" w:lineRule="auto"/>
        <w:tabs>
          <w:tab w:leader="none" w:pos="628"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Consists of future non-cancelable minimum rental payments under operating leases for our offices and data centers, excluding rent payments from our sub-tenants and variable operating expenses with terms of 14 years or less. As of December 31, 2021, we are entitled to non-cancelable rent payments from our sub-tenants of $76.3 million, which will be collected over the next 9 years.</w:t>
      </w:r>
    </w:p>
    <w:p>
      <w:pPr>
        <w:spacing w:after="0" w:line="1" w:lineRule="exact"/>
        <w:rPr>
          <w:rFonts w:ascii="Arial" w:cs="Arial" w:eastAsia="Arial" w:hAnsi="Arial"/>
          <w:sz w:val="20"/>
          <w:szCs w:val="20"/>
          <w:color w:val="auto"/>
          <w:vertAlign w:val="superscript"/>
        </w:rPr>
      </w:pPr>
    </w:p>
    <w:p>
      <w:pPr>
        <w:ind w:left="620" w:hanging="300"/>
        <w:spacing w:after="0" w:line="191" w:lineRule="auto"/>
        <w:tabs>
          <w:tab w:leader="none" w:pos="62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Consists of future non-cancelable minimum rental payments under finance leases primarily for our infrastructure with terms of 4 years or less.</w:t>
      </w:r>
    </w:p>
    <w:p>
      <w:pPr>
        <w:ind w:left="640" w:right="340" w:hanging="320"/>
        <w:spacing w:after="0" w:line="214" w:lineRule="auto"/>
        <w:tabs>
          <w:tab w:leader="none" w:pos="628"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Consists of commitments to third-party vendors for services related to our infrastructure, infrastructure warranty contracts, and asset retirement obligations for office modifications with terms of 14 years or less.</w:t>
      </w:r>
    </w:p>
    <w:p>
      <w:pPr>
        <w:spacing w:after="0" w:line="191" w:lineRule="exact"/>
        <w:rPr>
          <w:sz w:val="20"/>
          <w:szCs w:val="20"/>
          <w:color w:val="auto"/>
        </w:rPr>
      </w:pPr>
    </w:p>
    <w:p>
      <w:pPr>
        <w:ind w:right="120" w:firstLine="393"/>
        <w:spacing w:after="0" w:line="261" w:lineRule="auto"/>
        <w:rPr>
          <w:sz w:val="20"/>
          <w:szCs w:val="20"/>
          <w:color w:val="auto"/>
        </w:rPr>
      </w:pPr>
      <w:r>
        <w:rPr>
          <w:rFonts w:ascii="Arial" w:cs="Arial" w:eastAsia="Arial" w:hAnsi="Arial"/>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60" w:type="dxa"/>
            <w:vAlign w:val="bottom"/>
          </w:tcPr>
          <w:p>
            <w:pPr>
              <w:ind w:left="400"/>
              <w:spacing w:after="0"/>
              <w:rPr>
                <w:sz w:val="20"/>
                <w:szCs w:val="20"/>
                <w:color w:val="auto"/>
              </w:rPr>
            </w:pPr>
            <w:r>
              <w:rPr>
                <w:rFonts w:ascii="Arial" w:cs="Arial" w:eastAsia="Arial" w:hAnsi="Arial"/>
                <w:sz w:val="17"/>
                <w:szCs w:val="17"/>
                <w:color w:val="auto"/>
              </w:rPr>
              <w:t>Our cash flow activities were as follows for the periods presented:</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94"/>
        </w:trPr>
        <w:tc>
          <w:tcPr>
            <w:tcW w:w="766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7"/>
                <w:szCs w:val="17"/>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216"/>
        </w:trPr>
        <w:tc>
          <w:tcPr>
            <w:tcW w:w="76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bottom w:val="single" w:sz="8" w:color="auto"/>
            </w:tcBorders>
          </w:tcPr>
          <w:p>
            <w:pPr>
              <w:spacing w:after="0"/>
              <w:rPr>
                <w:sz w:val="18"/>
                <w:szCs w:val="18"/>
                <w:color w:val="auto"/>
              </w:rPr>
            </w:pPr>
          </w:p>
        </w:tc>
      </w:tr>
      <w:tr>
        <w:trPr>
          <w:trHeight w:val="211"/>
        </w:trPr>
        <w:tc>
          <w:tcPr>
            <w:tcW w:w="7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gridSpan w:val="3"/>
          </w:tcPr>
          <w:p>
            <w:pPr>
              <w:jc w:val="right"/>
              <w:ind w:right="713"/>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8"/>
                <w:szCs w:val="18"/>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570.8</w:t>
            </w:r>
          </w:p>
        </w:tc>
      </w:tr>
      <w:tr>
        <w:trPr>
          <w:trHeight w:val="223"/>
        </w:trPr>
        <w:tc>
          <w:tcPr>
            <w:tcW w:w="76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(524.8)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(233.6)</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w:t>
            </w:r>
          </w:p>
        </w:tc>
      </w:tr>
      <w:tr>
        <w:trPr>
          <w:trHeight w:val="22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241"/>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9"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stock-based compensation, and impairment related to real estate assets, as well as the effect of changes in operating assets and liabilities.</w:t>
      </w:r>
    </w:p>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 ended December 31, 2021, net cash provided by operating activities was $729.8 million, which primarily consisted of our net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$335.8 million, adjusted for stock-based compensation expense of $287.1 million, depreciation and amortization expenses of $151.4 million, impairment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related to real estate assets of $31.3 million, and net cash outflow of $93.9 million from operating assets and liabilities. The outflow from operating assets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liabilities was primarily due to the payment of our corporate bonus, key employee holdback payments related to the acquisition of HelloSign, and payment for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partial termination of the headquarters head lease.</w:t>
      </w:r>
    </w:p>
    <w:p>
      <w:pPr>
        <w:spacing w:after="0" w:line="3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9"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Net cash used in investing activities is primarily impacted by purchases of short-term investments, purchases of property and equipment to make improvements or modifications to existing and new office spaces, and for purchasing infrastructure equipment in co-location facilities that we directly lease and operate.</w:t>
      </w:r>
    </w:p>
    <w:p>
      <w:pPr>
        <w:spacing w:after="0" w:line="172" w:lineRule="exact"/>
        <w:rPr>
          <w:sz w:val="20"/>
          <w:szCs w:val="20"/>
          <w:color w:val="auto"/>
        </w:rPr>
      </w:pPr>
    </w:p>
    <w:p>
      <w:pPr>
        <w:ind w:right="360" w:firstLine="433"/>
        <w:spacing w:after="0" w:line="298" w:lineRule="auto"/>
        <w:rPr>
          <w:sz w:val="20"/>
          <w:szCs w:val="20"/>
          <w:color w:val="auto"/>
        </w:rPr>
      </w:pPr>
      <w:r>
        <w:rPr>
          <w:rFonts w:ascii="Arial" w:cs="Arial" w:eastAsia="Arial" w:hAnsi="Arial"/>
          <w:sz w:val="16"/>
          <w:szCs w:val="16"/>
          <w:color w:val="auto"/>
        </w:rPr>
        <w:t>For the year ended December 31, 2021, net cash used in investing activities was $524.8 million, which primarily related to $396.1 million in net investment outflows, driven by the purchases of short-term investments, net of sales and maturities and $140.0 million related to cash paid for acquisitions. Additionally, cash paid for capital expenditures during the period was $22.1 million related to our office and datacenter build-outs.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9"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Net cash used in financing activities is primarily impacted by cash used for repurchases of common stock, tax withholding obligations for the release of RSUs and RSAs, and principal payments on finance lease obligations for our infrastructure equipment. Additionally, in connection with the issuance of convertible senior notes, proceeds from the issuance of convertible notes, proceeds from the issuance of warrants, purchases of convertible senior note hedges, and debt issuance costs impacted net cash used in financing activities.</w:t>
      </w:r>
    </w:p>
    <w:p>
      <w:pPr>
        <w:spacing w:after="0" w:line="176"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For the year ended December 31, 2021, net cash provided by financing activities was $16.2 million, which primarily consisted of $1,303.0 million in net proceeds from the 2026 Notes and 2028 Notes, offset by offering costs, and the concurrent Note Hedges and Warrants transaction, $1,058.5 million for the repurchase of our common stock, $124.8 million for the satisfaction of tax withholding obligations for the release of restricted stock units and awards, and $110.4 million in principal payments on finance lease obligations.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Impacts of Stock-Based Compensation</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Co-Founder Grants</w:t>
      </w:r>
    </w:p>
    <w:p>
      <w:pPr>
        <w:spacing w:after="0" w:line="25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w:t>
      </w:r>
    </w:p>
    <w:p>
      <w:pPr>
        <w:spacing w:after="0" w:line="2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14.7 million shares of Class A Common Stock in the aggregate (collectively, the “Co-Founder Grants”), of which 10.3 million RSAs were granted to Drew Houston, the Company’s co-founder and Chief Executive Officer, and 4.4 million RSAs were granted to Arash Ferdowsi, the Company’s co-founder and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March 2020, one of the Company's co-founders, Mr. Ferdowsi, resigned as a member of the Board of Directors and as an officer of the Company. As of</w:t>
      </w:r>
    </w:p>
    <w:p>
      <w:pPr>
        <w:spacing w:after="0" w:line="50" w:lineRule="exact"/>
        <w:rPr>
          <w:sz w:val="20"/>
          <w:szCs w:val="20"/>
          <w:color w:val="auto"/>
        </w:rPr>
      </w:pPr>
    </w:p>
    <w:p>
      <w:pPr>
        <w:jc w:val="both"/>
        <w:ind w:right="320"/>
        <w:spacing w:after="0" w:line="241" w:lineRule="auto"/>
        <w:rPr>
          <w:sz w:val="20"/>
          <w:szCs w:val="20"/>
          <w:color w:val="auto"/>
        </w:rPr>
      </w:pPr>
      <w:r>
        <w:rPr>
          <w:rFonts w:ascii="Arial" w:cs="Arial" w:eastAsia="Arial" w:hAnsi="Arial"/>
          <w:sz w:val="17"/>
          <w:szCs w:val="17"/>
          <w:color w:val="auto"/>
        </w:rPr>
        <w:t>the date of Mr. Ferdowsi’s resignation, none of the Stock Price Targets had been met, resulting in the forfeiture of all of his 4.4 million RSAs. As he did not provide the requisite service associated with the Co-Founder Grants, the Company reversed all stock-based compensation expense that had been recognized from the grant date through March 19, 2020. See Note 12, "Stockholders' (Deficit) Equity" for further information.</w:t>
      </w:r>
    </w:p>
    <w:p>
      <w:pPr>
        <w:spacing w:after="0" w:line="211" w:lineRule="exact"/>
        <w:rPr>
          <w:sz w:val="20"/>
          <w:szCs w:val="20"/>
          <w:color w:val="auto"/>
        </w:rPr>
      </w:pPr>
    </w:p>
    <w:p>
      <w:pPr>
        <w:ind w:right="320" w:firstLine="433"/>
        <w:spacing w:after="0" w:line="268"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Company Stock Price</w:t>
            </w:r>
          </w:p>
        </w:tc>
        <w:tc>
          <w:tcPr>
            <w:tcW w:w="56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Shares Eligible to Vest for</w:t>
            </w:r>
          </w:p>
        </w:tc>
      </w:tr>
      <w:tr>
        <w:trPr>
          <w:trHeight w:val="223"/>
        </w:trPr>
        <w:tc>
          <w:tcPr>
            <w:tcW w:w="5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Target</w:t>
            </w:r>
          </w:p>
        </w:tc>
        <w:tc>
          <w:tcPr>
            <w:tcW w:w="56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Mr. Houston</w:t>
            </w:r>
          </w:p>
        </w:tc>
      </w:tr>
      <w:tr>
        <w:trPr>
          <w:trHeight w:val="32"/>
        </w:trPr>
        <w:tc>
          <w:tcPr>
            <w:tcW w:w="5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2,066,667</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$37.50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1,033,334</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$45.00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1,033,334</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$52.50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$67.50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$75.00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$82.50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47"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85"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The Performance Vesting Condition for the Co-Founder Grants was satisfied on the date the Company’s shares of Class A common stock commenced trading on the Nasdaq Global Select Market in connection with the Company’s IPO, which was March 23, 2018.</w:t>
      </w:r>
    </w:p>
    <w:p>
      <w:pPr>
        <w:spacing w:after="0" w:line="172" w:lineRule="exact"/>
        <w:rPr>
          <w:sz w:val="20"/>
          <w:szCs w:val="20"/>
          <w:color w:val="auto"/>
        </w:rPr>
      </w:pPr>
    </w:p>
    <w:p>
      <w:pPr>
        <w:ind w:right="140" w:firstLine="433"/>
        <w:spacing w:after="0" w:line="265" w:lineRule="auto"/>
        <w:rPr>
          <w:sz w:val="20"/>
          <w:szCs w:val="20"/>
          <w:color w:val="auto"/>
        </w:rPr>
      </w:pPr>
      <w:r>
        <w:rPr>
          <w:rFonts w:ascii="Arial" w:cs="Arial" w:eastAsia="Arial" w:hAnsi="Arial"/>
          <w:sz w:val="15"/>
          <w:szCs w:val="15"/>
          <w:color w:val="auto"/>
        </w:rPr>
        <w:t>The Stock Price Target for Mr. Houston's first tranche of the Co-Founder Grant was achieved in the third quarter of 2021. As a result, the first tranche of Mr. Houston's Co-Founder Grant, or 2.1 million shares of Class A common stock, vested in the fourth quarter of 2021. The stock-based compensation expense for Mr. Houston's Co-Founder Grant is recognized utilizing the accelerated attribution method, and therefore no incremental stock-based compensation was recognized. From time to time, directors, officers, and employees of the Company enter into 10b5-1 plans. Mr. Houston adopted a 10b5-1 plan in June 2021, pursuant to which a portion of the shares issued upon achievement of the performance targets under his Co-Founder Award (the "vested shares") were sold to satisfy income taxes related to the vesting of the Co-Founder Award and, as the Company’s share price was below the share price established in Mr. Houston's 10b5-1 plan, the remainder of the vested shares were not sold. If the Company’s share price reaches or exceeds the share price established in Mr. Houston's 10b5-1 plan prior to the date on which the term of such 10b5-1 plan expires, the remainder of the vested shares will be sold.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5"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92" w:lineRule="exact"/>
        <w:rPr>
          <w:sz w:val="20"/>
          <w:szCs w:val="20"/>
          <w:color w:val="auto"/>
        </w:rPr>
      </w:pPr>
    </w:p>
    <w:p>
      <w:pPr>
        <w:ind w:right="360" w:firstLine="433"/>
        <w:spacing w:after="0" w:line="241" w:lineRule="auto"/>
        <w:rPr>
          <w:sz w:val="20"/>
          <w:szCs w:val="20"/>
          <w:color w:val="auto"/>
        </w:rPr>
      </w:pPr>
      <w:r>
        <w:rPr>
          <w:rFonts w:ascii="Arial" w:cs="Arial" w:eastAsia="Arial" w:hAnsi="Arial"/>
          <w:sz w:val="17"/>
          <w:szCs w:val="17"/>
          <w:color w:val="auto"/>
        </w:rPr>
        <w:t>While our significant accounting policies are more fully described in Note 1 “Description of the Business and Summary of Significant Accounting Policies” to our Consolidated Financial Statements in Part II, Item 8 of this Annual Report on Form 10-K, we believe that the accounting policies described below involve a greater degree of judgment and estimation uncertainty.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50"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Accounting for business combinations requires us to make significant estimates and assumptions. We allocate the purchase consideration to the tangible and intangible assets acquired and liabilities assumed based on their estimated fair values, with the excess recorded to goodwill. Purchase consideration includes assets transferred, liabilities assumed, and/or equity interests issued by us, all of which are measured at their fair value as of the date of acquisition. Critical estimates in valuing certain intangible assets include, but are not limited to, future expected cash flows, expected asset lives, and discount rates. The amounts and useful lives assigned to acquisition-related intangible assets impact the amount and timing of future amortization expense.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315"/>
        <w:spacing w:after="0" w:line="360" w:lineRule="auto"/>
        <w:rPr>
          <w:sz w:val="20"/>
          <w:szCs w:val="20"/>
          <w:color w:val="auto"/>
        </w:rPr>
      </w:pPr>
      <w:r>
        <w:rPr>
          <w:rFonts w:ascii="Arial" w:cs="Arial" w:eastAsia="Arial" w:hAnsi="Arial"/>
          <w:sz w:val="15"/>
          <w:szCs w:val="15"/>
          <w:color w:val="auto"/>
        </w:rPr>
        <w:t>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Impairment related to real estate assets</w:t>
      </w:r>
    </w:p>
    <w:p>
      <w:pPr>
        <w:spacing w:after="0" w:line="250" w:lineRule="exact"/>
        <w:rPr>
          <w:sz w:val="20"/>
          <w:szCs w:val="20"/>
          <w:color w:val="auto"/>
        </w:rPr>
      </w:pPr>
    </w:p>
    <w:p>
      <w:pPr>
        <w:ind w:right="220" w:firstLine="433"/>
        <w:spacing w:after="0" w:line="298" w:lineRule="auto"/>
        <w:rPr>
          <w:sz w:val="20"/>
          <w:szCs w:val="20"/>
          <w:color w:val="auto"/>
        </w:rPr>
      </w:pPr>
      <w:r>
        <w:rPr>
          <w:rFonts w:ascii="Arial" w:cs="Arial" w:eastAsia="Arial" w:hAnsi="Arial"/>
          <w:sz w:val="16"/>
          <w:szCs w:val="16"/>
          <w:color w:val="auto"/>
        </w:rPr>
        <w:t>In accordance with ASC 360, Property, Plant, and Equipment (“ASC 360”), we evaluate our long-lived assets for impairment whenever events and circumstances indicate that the assets might be impaired. When the projected undiscounted cash flows estimated to be generated by those assets are less than their carrying amounts, the assets are adjusted to their estimated fair value and an impairment loss is recorded as a component of operating income.</w:t>
      </w:r>
    </w:p>
    <w:p>
      <w:pPr>
        <w:spacing w:after="0" w:line="180" w:lineRule="exact"/>
        <w:rPr>
          <w:sz w:val="20"/>
          <w:szCs w:val="20"/>
          <w:color w:val="auto"/>
        </w:rPr>
      </w:pPr>
    </w:p>
    <w:p>
      <w:pPr>
        <w:ind w:right="160" w:firstLine="433"/>
        <w:spacing w:after="0" w:line="314" w:lineRule="auto"/>
        <w:rPr>
          <w:sz w:val="20"/>
          <w:szCs w:val="20"/>
          <w:color w:val="auto"/>
        </w:rPr>
      </w:pPr>
      <w:r>
        <w:rPr>
          <w:rFonts w:ascii="Arial" w:cs="Arial" w:eastAsia="Arial" w:hAnsi="Arial"/>
          <w:sz w:val="15"/>
          <w:szCs w:val="15"/>
          <w:color w:val="auto"/>
        </w:rPr>
        <w:t>In the fourth quarter of 2020, as a result of our Virtual First strategy, we reassessed our asset groupings and evaluated the recoverability of our right-of-use and related lease assets, including leasehold improvements, furniture and fixtures, and computer equipment, and determined that the carrying value of the respective assets groups was not fully recoverable. As a result, we utilized discounted cash flow models to estimate the fair value of the assets groups and calculated the corresponding impairment loss. This review required the application of significant judgment in determining market participant assumptions.</w:t>
      </w:r>
    </w:p>
    <w:p>
      <w:pPr>
        <w:spacing w:after="0" w:line="173" w:lineRule="exact"/>
        <w:rPr>
          <w:sz w:val="20"/>
          <w:szCs w:val="20"/>
          <w:color w:val="auto"/>
        </w:rPr>
      </w:pPr>
    </w:p>
    <w:p>
      <w:pPr>
        <w:ind w:right="700" w:firstLine="433"/>
        <w:spacing w:after="0" w:line="360" w:lineRule="auto"/>
        <w:rPr>
          <w:sz w:val="20"/>
          <w:szCs w:val="20"/>
          <w:color w:val="auto"/>
        </w:rPr>
      </w:pPr>
      <w:r>
        <w:rPr>
          <w:rFonts w:ascii="Arial" w:cs="Arial" w:eastAsia="Arial" w:hAnsi="Arial"/>
          <w:sz w:val="15"/>
          <w:szCs w:val="15"/>
          <w:color w:val="auto"/>
        </w:rPr>
        <w:t>During the year ended December 31, 2021, we continued to evaluate the recoverability of our real estate assets and made adjustments to market participant assumptions, primarily expected downtime prior to the commencement of future subleases, and recorded additional impairment losses.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firstLine="315"/>
        <w:spacing w:after="0" w:line="273"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60" w:firstLine="315"/>
        <w:spacing w:after="0" w:line="305" w:lineRule="auto"/>
        <w:rPr>
          <w:sz w:val="20"/>
          <w:szCs w:val="20"/>
          <w:color w:val="auto"/>
        </w:rPr>
      </w:pPr>
      <w:r>
        <w:rPr>
          <w:rFonts w:ascii="Arial" w:cs="Arial" w:eastAsia="Arial" w:hAnsi="Arial"/>
          <w:sz w:val="15"/>
          <w:szCs w:val="15"/>
          <w:color w:val="auto"/>
        </w:rPr>
        <w:t>A valuation allowance is provided against deferred tax assets unless it is more likely than not that they will be realized based on all available positive and negative evidence. Such evidence, which requires management's judgment, includes, but is not limited to, recent cumulative earnings or losses, expectations of future taxable income by taxing jurisdiction, and the carry-forward periods available for the utilization of deferred tax assets. To the extent sufficient positive evidence becomes available, we may release all or a portion of our valuation allowance in one or more future periods. A release of the valuation allowance, if any, would result in the recognition of certain deferred tax assets and a material income tax benefit for the period in which such release is recorded. Refer to Note 14, “Income Taxes” to the Consolidated Financial Statements in Part II, Item 8 of this Annual Report on Form 10-K for more information.</w:t>
      </w: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See Note 1, “Description of the Business and Summary of Significant Accounting Policies” to our consolidated financial statements included elsewhere in this Annual Report on Form 10-K for recently adopted accounting pronouncements as of the date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7A. QUANTITATIVE AND QUALITATIVE DISCLOSURES ABOUT MARKET RISK</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45" w:lineRule="exact"/>
        <w:rPr>
          <w:sz w:val="20"/>
          <w:szCs w:val="20"/>
          <w:color w:val="auto"/>
        </w:rPr>
      </w:pPr>
    </w:p>
    <w:p>
      <w:pPr>
        <w:ind w:right="20" w:firstLine="393"/>
        <w:spacing w:after="0" w:line="281" w:lineRule="auto"/>
        <w:rPr>
          <w:sz w:val="20"/>
          <w:szCs w:val="20"/>
          <w:color w:val="auto"/>
        </w:rPr>
      </w:pPr>
      <w:r>
        <w:rPr>
          <w:rFonts w:ascii="Arial" w:cs="Arial" w:eastAsia="Arial" w:hAnsi="Arial"/>
          <w:sz w:val="16"/>
          <w:szCs w:val="16"/>
          <w:color w:val="auto"/>
        </w:rPr>
        <w:t>We had cash and cash equivalents of $533.0 million and short-term investments of $1,185.1 million as of December 31, 2021.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05" w:lineRule="exact"/>
        <w:rPr>
          <w:sz w:val="20"/>
          <w:szCs w:val="20"/>
          <w:color w:val="auto"/>
        </w:rPr>
      </w:pPr>
    </w:p>
    <w:p>
      <w:pPr>
        <w:jc w:val="both"/>
        <w:ind w:right="300" w:firstLine="393"/>
        <w:spacing w:after="0" w:line="273" w:lineRule="auto"/>
        <w:rPr>
          <w:sz w:val="20"/>
          <w:szCs w:val="20"/>
          <w:color w:val="auto"/>
        </w:rPr>
      </w:pPr>
      <w:r>
        <w:rPr>
          <w:rFonts w:ascii="Arial" w:cs="Arial" w:eastAsia="Arial" w:hAnsi="Arial"/>
          <w:sz w:val="17"/>
          <w:szCs w:val="17"/>
          <w:color w:val="auto"/>
        </w:rPr>
        <w:t>Any borrowings under the revolving credit facility bear interest at a variable rate tied to SOFR, the prime rate, or the federal funds effective rate. As of December 31, 2021, we had no amounts outstanding under the revolving credit facility. We do not have any other long-term debt or financial liabilities with floating interest rates that would subject us to interest rate fluctuations.</w:t>
      </w:r>
    </w:p>
    <w:p>
      <w:pPr>
        <w:spacing w:after="0" w:line="107"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As of December 31, 2021, a hypothetical change in interest rates by 100 basis points would not have a significant impact on our cash and cash equivalents or the fair value of our investment portfolio.</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59"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3"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80"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10" w:lineRule="exact"/>
        <w:rPr>
          <w:sz w:val="20"/>
          <w:szCs w:val="20"/>
          <w:color w:val="auto"/>
        </w:rPr>
      </w:pPr>
    </w:p>
    <w:p>
      <w:pPr>
        <w:ind w:right="60" w:firstLine="393"/>
        <w:spacing w:after="0" w:line="301" w:lineRule="auto"/>
        <w:rPr>
          <w:sz w:val="20"/>
          <w:szCs w:val="20"/>
          <w:color w:val="auto"/>
        </w:rPr>
      </w:pPr>
      <w:r>
        <w:rPr>
          <w:rFonts w:ascii="Arial" w:cs="Arial" w:eastAsia="Arial" w:hAnsi="Arial"/>
          <w:sz w:val="15"/>
          <w:szCs w:val="15"/>
          <w:color w:val="auto"/>
        </w:rPr>
        <w:t>As exchange rates may fluctuate significantly between periods, revenue and operating expenses, when converted into U.S. dollars, may also experience significant fluctuations between periods. Volatile market conditions arising from the COVID-19 pandemic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year ended December 31, 2021, 30%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recorded $1.8 million losses and $2.9 million gains in net foreign currency transactions in the years ended December 31, 2021 and 2020,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 hypothetical 10% change in foreign currency rates would not have resulted in material gains or losses for the years ended December 31, 2021 and 2020.</w:t>
      </w:r>
    </w:p>
    <w:p>
      <w:pPr>
        <w:spacing w:after="0" w:line="145"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 FINANCIAL STATEMENTS AND SUPPLEMENTARY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Page</w:t>
            </w:r>
          </w:p>
        </w:tc>
        <w:tc>
          <w:tcPr>
            <w:tcW w:w="20" w:type="dxa"/>
            <w:vAlign w:val="bottom"/>
          </w:tcPr>
          <w:p>
            <w:pPr>
              <w:spacing w:after="0"/>
              <w:rPr>
                <w:sz w:val="19"/>
                <w:szCs w:val="19"/>
                <w:color w:val="auto"/>
              </w:rPr>
            </w:pPr>
          </w:p>
        </w:tc>
      </w:tr>
      <w:tr>
        <w:trPr>
          <w:trHeight w:val="177"/>
        </w:trPr>
        <w:tc>
          <w:tcPr>
            <w:tcW w:w="20" w:type="dxa"/>
            <w:vAlign w:val="bottom"/>
            <w:shd w:val="clear" w:color="auto" w:fill="CCEEFF"/>
          </w:tcPr>
          <w:p>
            <w:pPr>
              <w:spacing w:after="0"/>
              <w:rPr>
                <w:sz w:val="15"/>
                <w:szCs w:val="15"/>
                <w:color w:val="auto"/>
              </w:rPr>
            </w:pPr>
          </w:p>
        </w:tc>
        <w:tc>
          <w:tcPr>
            <w:tcW w:w="5420" w:type="dxa"/>
            <w:vAlign w:val="bottom"/>
            <w:gridSpan w:val="5"/>
            <w:shd w:val="clear" w:color="auto" w:fill="CCEEFF"/>
          </w:tcPr>
          <w:p>
            <w:pPr>
              <w:spacing w:after="0" w:line="177" w:lineRule="exact"/>
              <w:rPr>
                <w:rFonts w:ascii="Arial" w:cs="Arial" w:eastAsia="Arial" w:hAnsi="Arial"/>
                <w:sz w:val="17"/>
                <w:szCs w:val="17"/>
                <w:color w:val="0000FF"/>
                <w:w w:val="96"/>
              </w:rPr>
            </w:pPr>
            <w:hyperlink w:anchor="page64">
              <w:r>
                <w:rPr>
                  <w:rFonts w:ascii="Arial" w:cs="Arial" w:eastAsia="Arial" w:hAnsi="Arial"/>
                  <w:sz w:val="17"/>
                  <w:szCs w:val="17"/>
                  <w:color w:val="0000FF"/>
                  <w:w w:val="96"/>
                </w:rPr>
                <w:t xml:space="preserve">Report of Independent Registered Public Accounting Firm </w:t>
              </w:r>
            </w:hyperlink>
            <w:r>
              <w:rPr>
                <w:rFonts w:ascii="Arial" w:cs="Arial" w:eastAsia="Arial" w:hAnsi="Arial"/>
                <w:sz w:val="17"/>
                <w:szCs w:val="17"/>
                <w:color w:val="000000"/>
                <w:w w:val="96"/>
              </w:rPr>
              <w:t>(PCAOB</w:t>
            </w:r>
            <w:r>
              <w:rPr>
                <w:rFonts w:ascii="Arial" w:cs="Arial" w:eastAsia="Arial" w:hAnsi="Arial"/>
                <w:sz w:val="17"/>
                <w:szCs w:val="17"/>
                <w:color w:val="0000FF"/>
                <w:w w:val="96"/>
              </w:rPr>
              <w:t xml:space="preserve"> </w:t>
            </w:r>
            <w:r>
              <w:rPr>
                <w:rFonts w:ascii="Arial" w:cs="Arial" w:eastAsia="Arial" w:hAnsi="Arial"/>
                <w:sz w:val="17"/>
                <w:szCs w:val="17"/>
                <w:color w:val="000000"/>
                <w:w w:val="96"/>
              </w:rPr>
              <w:t>ID: 42)</w:t>
            </w:r>
          </w:p>
        </w:tc>
        <w:tc>
          <w:tcPr>
            <w:tcW w:w="4940" w:type="dxa"/>
            <w:vAlign w:val="bottom"/>
            <w:gridSpan w:val="3"/>
            <w:shd w:val="clear" w:color="auto" w:fill="CCEEFF"/>
          </w:tcPr>
          <w:p>
            <w:pPr>
              <w:jc w:val="center"/>
              <w:ind w:left="4693"/>
              <w:spacing w:after="0" w:line="177" w:lineRule="exact"/>
              <w:rPr>
                <w:rFonts w:ascii="Arial" w:cs="Arial" w:eastAsia="Arial" w:hAnsi="Arial"/>
                <w:sz w:val="17"/>
                <w:szCs w:val="17"/>
                <w:color w:val="0000FF"/>
                <w:w w:val="84"/>
              </w:rPr>
            </w:pPr>
            <w:hyperlink w:anchor="page64">
              <w:r>
                <w:rPr>
                  <w:rFonts w:ascii="Arial" w:cs="Arial" w:eastAsia="Arial" w:hAnsi="Arial"/>
                  <w:sz w:val="17"/>
                  <w:szCs w:val="17"/>
                  <w:color w:val="0000FF"/>
                  <w:w w:val="84"/>
                </w:rPr>
                <w:t>64</w:t>
              </w:r>
            </w:hyperlink>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60" w:type="dxa"/>
            <w:vAlign w:val="bottom"/>
            <w:tcBorders>
              <w:right w:val="single" w:sz="8" w:color="CCEEFF"/>
            </w:tcBorders>
            <w:shd w:val="clear" w:color="auto" w:fill="0000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2040" w:type="dxa"/>
            <w:vAlign w:val="bottom"/>
          </w:tcPr>
          <w:p>
            <w:pPr>
              <w:spacing w:after="0" w:line="184" w:lineRule="exact"/>
              <w:rPr>
                <w:rFonts w:ascii="Arial" w:cs="Arial" w:eastAsia="Arial" w:hAnsi="Arial"/>
                <w:sz w:val="17"/>
                <w:szCs w:val="17"/>
                <w:color w:val="0000FF"/>
                <w:w w:val="90"/>
              </w:rPr>
            </w:pPr>
            <w:hyperlink w:anchor="page67">
              <w:r>
                <w:rPr>
                  <w:rFonts w:ascii="Arial" w:cs="Arial" w:eastAsia="Arial" w:hAnsi="Arial"/>
                  <w:sz w:val="17"/>
                  <w:szCs w:val="17"/>
                  <w:color w:val="0000FF"/>
                  <w:w w:val="90"/>
                </w:rPr>
                <w:t>Consolidated Balance Sheets</w:t>
              </w:r>
            </w:hyperlink>
          </w:p>
        </w:tc>
        <w:tc>
          <w:tcPr>
            <w:tcW w:w="2080" w:type="dxa"/>
            <w:vAlign w:val="bottom"/>
            <w:gridSpan w:val="3"/>
          </w:tcPr>
          <w:p>
            <w:pPr>
              <w:spacing w:after="0"/>
              <w:rPr>
                <w:sz w:val="15"/>
                <w:szCs w:val="15"/>
                <w:color w:val="auto"/>
              </w:rPr>
            </w:pPr>
          </w:p>
        </w:tc>
        <w:tc>
          <w:tcPr>
            <w:tcW w:w="1300" w:type="dxa"/>
            <w:vAlign w:val="bottom"/>
          </w:tcPr>
          <w:p>
            <w:pPr>
              <w:spacing w:after="0"/>
              <w:rPr>
                <w:sz w:val="15"/>
                <w:szCs w:val="15"/>
                <w:color w:val="auto"/>
              </w:rPr>
            </w:pPr>
          </w:p>
        </w:tc>
        <w:tc>
          <w:tcPr>
            <w:tcW w:w="4940" w:type="dxa"/>
            <w:vAlign w:val="bottom"/>
            <w:gridSpan w:val="3"/>
          </w:tcPr>
          <w:p>
            <w:pPr>
              <w:jc w:val="center"/>
              <w:ind w:left="4693"/>
              <w:spacing w:after="0" w:line="184" w:lineRule="exact"/>
              <w:rPr>
                <w:rFonts w:ascii="Arial" w:cs="Arial" w:eastAsia="Arial" w:hAnsi="Arial"/>
                <w:sz w:val="17"/>
                <w:szCs w:val="17"/>
                <w:color w:val="0000FF"/>
                <w:w w:val="84"/>
              </w:rPr>
            </w:pPr>
            <w:hyperlink w:anchor="page67">
              <w:r>
                <w:rPr>
                  <w:rFonts w:ascii="Arial" w:cs="Arial" w:eastAsia="Arial" w:hAnsi="Arial"/>
                  <w:sz w:val="17"/>
                  <w:szCs w:val="17"/>
                  <w:color w:val="0000FF"/>
                  <w:w w:val="84"/>
                </w:rPr>
                <w:t>67</w:t>
              </w:r>
            </w:hyperlink>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2780" w:type="dxa"/>
            <w:vAlign w:val="bottom"/>
            <w:tcBorders>
              <w:right w:val="single" w:sz="8" w:color="CCEEFF"/>
            </w:tcBorders>
            <w:gridSpan w:val="2"/>
            <w:shd w:val="clear" w:color="auto" w:fill="CCEEFF"/>
          </w:tcPr>
          <w:p>
            <w:pPr>
              <w:spacing w:after="0" w:line="194" w:lineRule="exact"/>
              <w:rPr>
                <w:rFonts w:ascii="Arial" w:cs="Arial" w:eastAsia="Arial" w:hAnsi="Arial"/>
                <w:sz w:val="17"/>
                <w:szCs w:val="17"/>
                <w:color w:val="0000FF"/>
                <w:w w:val="92"/>
              </w:rPr>
            </w:pPr>
            <w:hyperlink w:anchor="page68">
              <w:r>
                <w:rPr>
                  <w:rFonts w:ascii="Arial" w:cs="Arial" w:eastAsia="Arial" w:hAnsi="Arial"/>
                  <w:sz w:val="17"/>
                  <w:szCs w:val="17"/>
                  <w:color w:val="0000FF"/>
                  <w:w w:val="92"/>
                </w:rPr>
                <w:t>Consolidated Statements of Operations</w:t>
              </w:r>
            </w:hyperlink>
          </w:p>
        </w:tc>
        <w:tc>
          <w:tcPr>
            <w:tcW w:w="2640" w:type="dxa"/>
            <w:vAlign w:val="bottom"/>
            <w:gridSpan w:val="3"/>
            <w:shd w:val="clear" w:color="auto" w:fill="CCEEFF"/>
          </w:tcPr>
          <w:p>
            <w:pPr>
              <w:spacing w:after="0"/>
              <w:rPr>
                <w:sz w:val="16"/>
                <w:szCs w:val="16"/>
                <w:color w:val="auto"/>
              </w:rPr>
            </w:pPr>
          </w:p>
        </w:tc>
        <w:tc>
          <w:tcPr>
            <w:tcW w:w="4940" w:type="dxa"/>
            <w:vAlign w:val="bottom"/>
            <w:gridSpan w:val="3"/>
            <w:shd w:val="clear" w:color="auto" w:fill="CCEEFF"/>
          </w:tcPr>
          <w:p>
            <w:pPr>
              <w:jc w:val="center"/>
              <w:ind w:left="4693"/>
              <w:spacing w:after="0" w:line="194" w:lineRule="exact"/>
              <w:rPr>
                <w:rFonts w:ascii="Arial" w:cs="Arial" w:eastAsia="Arial" w:hAnsi="Arial"/>
                <w:sz w:val="17"/>
                <w:szCs w:val="17"/>
                <w:color w:val="0000FF"/>
                <w:w w:val="84"/>
              </w:rPr>
            </w:pPr>
            <w:hyperlink w:anchor="page68">
              <w:r>
                <w:rPr>
                  <w:rFonts w:ascii="Arial" w:cs="Arial" w:eastAsia="Arial" w:hAnsi="Arial"/>
                  <w:sz w:val="17"/>
                  <w:szCs w:val="17"/>
                  <w:color w:val="0000FF"/>
                  <w:w w:val="84"/>
                </w:rPr>
                <w:t>68</w:t>
              </w:r>
            </w:hyperlink>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4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tcBorders>
              <w:right w:val="single" w:sz="8" w:color="CCEEFF"/>
            </w:tcBorders>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5420" w:type="dxa"/>
            <w:vAlign w:val="bottom"/>
            <w:gridSpan w:val="5"/>
          </w:tcPr>
          <w:p>
            <w:pPr>
              <w:spacing w:after="0" w:line="184" w:lineRule="exact"/>
              <w:rPr>
                <w:rFonts w:ascii="Arial" w:cs="Arial" w:eastAsia="Arial" w:hAnsi="Arial"/>
                <w:sz w:val="17"/>
                <w:szCs w:val="17"/>
                <w:color w:val="0000FF"/>
              </w:rPr>
            </w:pPr>
            <w:hyperlink w:anchor="page69">
              <w:r>
                <w:rPr>
                  <w:rFonts w:ascii="Arial" w:cs="Arial" w:eastAsia="Arial" w:hAnsi="Arial"/>
                  <w:sz w:val="17"/>
                  <w:szCs w:val="17"/>
                  <w:color w:val="0000FF"/>
                </w:rPr>
                <w:t>Consolidated Statements of Comprehensive Income (Loss)</w:t>
              </w:r>
            </w:hyperlink>
          </w:p>
        </w:tc>
        <w:tc>
          <w:tcPr>
            <w:tcW w:w="4940" w:type="dxa"/>
            <w:vAlign w:val="bottom"/>
            <w:gridSpan w:val="3"/>
          </w:tcPr>
          <w:p>
            <w:pPr>
              <w:jc w:val="center"/>
              <w:ind w:left="4693"/>
              <w:spacing w:after="0" w:line="184" w:lineRule="exact"/>
              <w:rPr>
                <w:rFonts w:ascii="Arial" w:cs="Arial" w:eastAsia="Arial" w:hAnsi="Arial"/>
                <w:sz w:val="17"/>
                <w:szCs w:val="17"/>
                <w:color w:val="0000FF"/>
                <w:w w:val="84"/>
              </w:rPr>
            </w:pPr>
            <w:hyperlink w:anchor="page69">
              <w:r>
                <w:rPr>
                  <w:rFonts w:ascii="Arial" w:cs="Arial" w:eastAsia="Arial" w:hAnsi="Arial"/>
                  <w:sz w:val="17"/>
                  <w:szCs w:val="17"/>
                  <w:color w:val="0000FF"/>
                  <w:w w:val="84"/>
                </w:rPr>
                <w:t>69</w:t>
              </w:r>
            </w:hyperlink>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120" w:type="dxa"/>
            <w:vAlign w:val="bottom"/>
            <w:tcBorders>
              <w:right w:val="single" w:sz="8" w:color="CCEEFF"/>
            </w:tcBorders>
            <w:gridSpan w:val="4"/>
            <w:shd w:val="clear" w:color="auto" w:fill="CCEEFF"/>
          </w:tcPr>
          <w:p>
            <w:pPr>
              <w:spacing w:after="0" w:line="194" w:lineRule="exact"/>
              <w:rPr>
                <w:rFonts w:ascii="Arial" w:cs="Arial" w:eastAsia="Arial" w:hAnsi="Arial"/>
                <w:sz w:val="17"/>
                <w:szCs w:val="17"/>
                <w:color w:val="0000FF"/>
                <w:w w:val="94"/>
              </w:rPr>
            </w:pPr>
            <w:hyperlink w:anchor="page70">
              <w:r>
                <w:rPr>
                  <w:rFonts w:ascii="Arial" w:cs="Arial" w:eastAsia="Arial" w:hAnsi="Arial"/>
                  <w:sz w:val="17"/>
                  <w:szCs w:val="17"/>
                  <w:color w:val="0000FF"/>
                  <w:w w:val="94"/>
                </w:rPr>
                <w:t>Consolidated Statements of Stockholders’ (Deficit) Equity</w:t>
              </w:r>
            </w:hyperlink>
          </w:p>
        </w:tc>
        <w:tc>
          <w:tcPr>
            <w:tcW w:w="1300" w:type="dxa"/>
            <w:vAlign w:val="bottom"/>
            <w:shd w:val="clear" w:color="auto" w:fill="CCEEFF"/>
          </w:tcPr>
          <w:p>
            <w:pPr>
              <w:spacing w:after="0"/>
              <w:rPr>
                <w:sz w:val="16"/>
                <w:szCs w:val="16"/>
                <w:color w:val="auto"/>
              </w:rPr>
            </w:pPr>
          </w:p>
        </w:tc>
        <w:tc>
          <w:tcPr>
            <w:tcW w:w="4940" w:type="dxa"/>
            <w:vAlign w:val="bottom"/>
            <w:gridSpan w:val="3"/>
            <w:shd w:val="clear" w:color="auto" w:fill="CCEEFF"/>
          </w:tcPr>
          <w:p>
            <w:pPr>
              <w:jc w:val="center"/>
              <w:ind w:left="4693"/>
              <w:spacing w:after="0" w:line="194" w:lineRule="exact"/>
              <w:rPr>
                <w:rFonts w:ascii="Arial" w:cs="Arial" w:eastAsia="Arial" w:hAnsi="Arial"/>
                <w:sz w:val="17"/>
                <w:szCs w:val="17"/>
                <w:color w:val="0000FF"/>
                <w:w w:val="84"/>
              </w:rPr>
            </w:pPr>
            <w:hyperlink w:anchor="page70">
              <w:r>
                <w:rPr>
                  <w:rFonts w:ascii="Arial" w:cs="Arial" w:eastAsia="Arial" w:hAnsi="Arial"/>
                  <w:sz w:val="17"/>
                  <w:szCs w:val="17"/>
                  <w:color w:val="0000FF"/>
                  <w:w w:val="84"/>
                </w:rPr>
                <w:t>70</w:t>
              </w:r>
            </w:hyperlink>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60" w:type="dxa"/>
            <w:vAlign w:val="bottom"/>
            <w:tcBorders>
              <w:right w:val="single" w:sz="8" w:color="CCEEFF"/>
            </w:tcBorders>
            <w:shd w:val="clear" w:color="auto" w:fill="0000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4120" w:type="dxa"/>
            <w:vAlign w:val="bottom"/>
            <w:gridSpan w:val="4"/>
          </w:tcPr>
          <w:p>
            <w:pPr>
              <w:spacing w:after="0" w:line="184" w:lineRule="exact"/>
              <w:rPr>
                <w:rFonts w:ascii="Arial" w:cs="Arial" w:eastAsia="Arial" w:hAnsi="Arial"/>
                <w:sz w:val="17"/>
                <w:szCs w:val="17"/>
                <w:color w:val="0000FF"/>
              </w:rPr>
            </w:pPr>
            <w:hyperlink w:anchor="page71">
              <w:r>
                <w:rPr>
                  <w:rFonts w:ascii="Arial" w:cs="Arial" w:eastAsia="Arial" w:hAnsi="Arial"/>
                  <w:sz w:val="17"/>
                  <w:szCs w:val="17"/>
                  <w:color w:val="0000FF"/>
                </w:rPr>
                <w:t>Consolidated Statements of Cash Flows</w:t>
              </w:r>
            </w:hyperlink>
          </w:p>
        </w:tc>
        <w:tc>
          <w:tcPr>
            <w:tcW w:w="1300" w:type="dxa"/>
            <w:vAlign w:val="bottom"/>
          </w:tcPr>
          <w:p>
            <w:pPr>
              <w:spacing w:after="0"/>
              <w:rPr>
                <w:sz w:val="15"/>
                <w:szCs w:val="15"/>
                <w:color w:val="auto"/>
              </w:rPr>
            </w:pPr>
          </w:p>
        </w:tc>
        <w:tc>
          <w:tcPr>
            <w:tcW w:w="4940" w:type="dxa"/>
            <w:vAlign w:val="bottom"/>
            <w:gridSpan w:val="3"/>
          </w:tcPr>
          <w:p>
            <w:pPr>
              <w:jc w:val="center"/>
              <w:ind w:left="4693"/>
              <w:spacing w:after="0" w:line="184" w:lineRule="exact"/>
              <w:rPr>
                <w:rFonts w:ascii="Arial" w:cs="Arial" w:eastAsia="Arial" w:hAnsi="Arial"/>
                <w:sz w:val="17"/>
                <w:szCs w:val="17"/>
                <w:color w:val="0000FF"/>
                <w:w w:val="84"/>
              </w:rPr>
            </w:pPr>
            <w:hyperlink w:anchor="page71">
              <w:r>
                <w:rPr>
                  <w:rFonts w:ascii="Arial" w:cs="Arial" w:eastAsia="Arial" w:hAnsi="Arial"/>
                  <w:sz w:val="17"/>
                  <w:szCs w:val="17"/>
                  <w:color w:val="0000FF"/>
                  <w:w w:val="84"/>
                </w:rPr>
                <w:t>71</w:t>
              </w:r>
            </w:hyperlink>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spacing w:after="0" w:line="194" w:lineRule="exact"/>
              <w:rPr>
                <w:rFonts w:ascii="Arial" w:cs="Arial" w:eastAsia="Arial" w:hAnsi="Arial"/>
                <w:sz w:val="17"/>
                <w:szCs w:val="17"/>
                <w:color w:val="0000FF"/>
              </w:rPr>
            </w:pPr>
            <w:hyperlink w:anchor="page73">
              <w:r>
                <w:rPr>
                  <w:rFonts w:ascii="Arial" w:cs="Arial" w:eastAsia="Arial" w:hAnsi="Arial"/>
                  <w:sz w:val="17"/>
                  <w:szCs w:val="17"/>
                  <w:color w:val="0000FF"/>
                </w:rPr>
                <w:t>Notes to Consolidated Financial Statements</w:t>
              </w:r>
            </w:hyperlink>
          </w:p>
        </w:tc>
        <w:tc>
          <w:tcPr>
            <w:tcW w:w="4940" w:type="dxa"/>
            <w:vAlign w:val="bottom"/>
            <w:gridSpan w:val="3"/>
            <w:shd w:val="clear" w:color="auto" w:fill="CCEEFF"/>
          </w:tcPr>
          <w:p>
            <w:pPr>
              <w:jc w:val="center"/>
              <w:ind w:left="4693"/>
              <w:spacing w:after="0" w:line="194" w:lineRule="exact"/>
              <w:rPr>
                <w:rFonts w:ascii="Arial" w:cs="Arial" w:eastAsia="Arial" w:hAnsi="Arial"/>
                <w:sz w:val="17"/>
                <w:szCs w:val="17"/>
                <w:color w:val="0000FF"/>
                <w:w w:val="84"/>
              </w:rPr>
            </w:pPr>
            <w:hyperlink w:anchor="page73">
              <w:r>
                <w:rPr>
                  <w:rFonts w:ascii="Arial" w:cs="Arial" w:eastAsia="Arial" w:hAnsi="Arial"/>
                  <w:sz w:val="17"/>
                  <w:szCs w:val="17"/>
                  <w:color w:val="0000FF"/>
                  <w:w w:val="84"/>
                </w:rPr>
                <w:t>73</w:t>
              </w:r>
            </w:hyperlink>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26"/>
        </w:trPr>
        <w:tc>
          <w:tcPr>
            <w:tcW w:w="20" w:type="dxa"/>
            <w:vAlign w:val="bottom"/>
            <w:tcBorders>
              <w:top w:val="single" w:sz="8" w:color="CCEEFF"/>
            </w:tcBorders>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jc w:val="right"/>
              <w:ind w:right="3573"/>
              <w:spacing w:after="0"/>
              <w:rPr>
                <w:sz w:val="20"/>
                <w:szCs w:val="20"/>
                <w:color w:val="auto"/>
              </w:rPr>
            </w:pPr>
            <w:r>
              <w:rPr>
                <w:rFonts w:ascii="Arial" w:cs="Arial" w:eastAsia="Arial" w:hAnsi="Arial"/>
                <w:sz w:val="17"/>
                <w:szCs w:val="17"/>
                <w:color w:val="auto"/>
              </w:rPr>
              <w:t>63</w:t>
            </w:r>
          </w:p>
        </w:tc>
        <w:tc>
          <w:tcPr>
            <w:tcW w:w="840" w:type="dxa"/>
            <w:vAlign w:val="bottom"/>
            <w:tcBorders>
              <w:top w:val="single" w:sz="8" w:color="CCEE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Dropbox, Inc.</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17" w:lineRule="exact"/>
        <w:rPr>
          <w:sz w:val="20"/>
          <w:szCs w:val="20"/>
          <w:color w:val="auto"/>
        </w:rPr>
      </w:pPr>
    </w:p>
    <w:p>
      <w:pPr>
        <w:ind w:right="40" w:firstLine="629"/>
        <w:spacing w:after="0" w:line="286" w:lineRule="auto"/>
        <w:rPr>
          <w:sz w:val="20"/>
          <w:szCs w:val="20"/>
          <w:color w:val="auto"/>
        </w:rPr>
      </w:pPr>
      <w:r>
        <w:rPr>
          <w:rFonts w:ascii="Arial" w:cs="Arial" w:eastAsia="Arial" w:hAnsi="Arial"/>
          <w:sz w:val="16"/>
          <w:szCs w:val="16"/>
          <w:color w:val="333333"/>
        </w:rPr>
        <w:t>We have audited the accompanying consolidated balance sheets of Dropbox, Inc. (the Company) as of December 31, 2021 and 2020, the related consolidated statements of operations, comprehensive income (loss), stockholders' (deficit)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89"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18, 2022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5" w:lineRule="exact"/>
        <w:rPr>
          <w:sz w:val="20"/>
          <w:szCs w:val="20"/>
          <w:color w:val="auto"/>
        </w:rPr>
      </w:pPr>
    </w:p>
    <w:p>
      <w:pPr>
        <w:jc w:val="both"/>
        <w:ind w:firstLine="629"/>
        <w:spacing w:after="0" w:line="326" w:lineRule="auto"/>
        <w:rPr>
          <w:sz w:val="20"/>
          <w:szCs w:val="20"/>
          <w:color w:val="auto"/>
        </w:rPr>
      </w:pPr>
      <w:r>
        <w:rPr>
          <w:rFonts w:ascii="Arial" w:cs="Arial" w:eastAsia="Arial" w:hAnsi="Arial"/>
          <w:sz w:val="15"/>
          <w:szCs w:val="15"/>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25"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333333"/>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
        <w:spacing w:after="0" w:line="241" w:lineRule="auto"/>
        <w:rPr>
          <w:sz w:val="20"/>
          <w:szCs w:val="20"/>
          <w:color w:val="auto"/>
        </w:rPr>
      </w:pPr>
      <w:r>
        <w:rPr>
          <w:rFonts w:ascii="Arial" w:cs="Arial" w:eastAsia="Arial" w:hAnsi="Arial"/>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Contracts with Customers</w:t>
      </w:r>
    </w:p>
    <w:p>
      <w:pPr>
        <w:spacing w:after="0" w:line="41"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As described in Note 1 to the consolidated financial statements, the Company derives its revenue from subscription fees from customers for access to its platform, which it recognizes ratably over the related contractual term. The Company's revenue recognition process involves several applications responsible for the initiation, processing, and recording of transactions from the Company’s various sales channels, and the calculation of revenue in accordance with the Company’s accounting policy.</w:t>
      </w:r>
    </w:p>
    <w:p>
      <w:pPr>
        <w:spacing w:after="0" w:line="17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Auditing the Company's accounting for revenue from contracts with customers was challenging and complex due to the high volume of individually-low-monetary-value transactions, dependency on the effective design and operation of multiple applications, some of which are specifically designed for the Company’s business, and the use of multiple data sources in the revenue recognition process.</w:t>
      </w:r>
    </w:p>
    <w:p>
      <w:pPr>
        <w:spacing w:after="0" w:line="200" w:lineRule="exact"/>
        <w:rPr>
          <w:sz w:val="20"/>
          <w:szCs w:val="20"/>
          <w:color w:val="auto"/>
        </w:rPr>
      </w:pPr>
    </w:p>
    <w:p>
      <w:pPr>
        <w:sectPr>
          <w:pgSz w:w="11900" w:h="16838" w:orient="portrait"/>
          <w:cols w:equalWidth="0" w:num="2">
            <w:col w:w="1280" w:space="180"/>
            <w:col w:w="976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5" w:name="page66"/>
    <w:bookmarkEnd w:id="65"/>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line="271"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the Company’s accounting for revenue from contracts with customers. For example, with the assistance of IT professionals, we tested the controls over the initiation and billing of new and recurring subscriptions, the provisioning of customers, and the Company’s cash to billings reconciliation process. We also tested the controls related to the key application interfaces between the provisioning, billing, and accounting systems, which included controls related to access to the relevant applications and data and changes to the relevant systems and interfaces, as well as controls over the configuration of the relevant applications.</w:t>
      </w:r>
    </w:p>
    <w:p>
      <w:pPr>
        <w:spacing w:after="0" w:line="205"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To test the Company’s accounting for revenue from contracts with customers, we performed substantive audit procedures that included, among others, testing on a sample basis the completeness and accuracy of the underlying data within the Company’s billing system, performing data analytics by extracting data from the system to evaluate the completeness and accuracy of recorded revenue and deferred revenue amounts, tracing a sample of sales transactions to source data, and testing a sample of cash to billings reconciliations.</w:t>
      </w:r>
    </w:p>
    <w:p>
      <w:pPr>
        <w:spacing w:after="0" w:line="107" w:lineRule="exact"/>
        <w:rPr>
          <w:sz w:val="20"/>
          <w:szCs w:val="20"/>
          <w:color w:val="auto"/>
        </w:rPr>
      </w:pPr>
    </w:p>
    <w:p>
      <w:pPr>
        <w:sectPr>
          <w:pgSz w:w="11900" w:h="16838" w:orient="portrait"/>
          <w:cols w:equalWidth="0" w:num="2">
            <w:col w:w="1360" w:space="100"/>
            <w:col w:w="9760"/>
          </w:cols>
          <w:pgMar w:left="320" w:top="130" w:right="359" w:bottom="1440" w:gutter="0" w:footer="0" w:header="0"/>
          <w:type w:val="continuous"/>
        </w:sectPr>
      </w:pPr>
    </w:p>
    <w:p>
      <w:pPr>
        <w:spacing w:after="0" w:line="236" w:lineRule="exact"/>
        <w:rPr>
          <w:sz w:val="20"/>
          <w:szCs w:val="20"/>
          <w:color w:val="auto"/>
        </w:rPr>
      </w:pPr>
    </w:p>
    <w:p>
      <w:pPr>
        <w:ind w:left="20" w:right="80"/>
        <w:spacing w:after="0" w:line="241" w:lineRule="auto"/>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line="271"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Accounting for Acquisition of DocSend, Inc.</w:t>
      </w:r>
    </w:p>
    <w:p>
      <w:pPr>
        <w:spacing w:after="0" w:line="54" w:lineRule="exact"/>
        <w:rPr>
          <w:sz w:val="20"/>
          <w:szCs w:val="20"/>
          <w:color w:val="auto"/>
        </w:rPr>
      </w:pPr>
    </w:p>
    <w:p>
      <w:pPr>
        <w:ind w:right="220"/>
        <w:spacing w:after="0" w:line="360" w:lineRule="auto"/>
        <w:rPr>
          <w:sz w:val="20"/>
          <w:szCs w:val="20"/>
          <w:color w:val="auto"/>
        </w:rPr>
      </w:pPr>
      <w:r>
        <w:rPr>
          <w:rFonts w:ascii="Arial" w:cs="Arial" w:eastAsia="Arial" w:hAnsi="Arial"/>
          <w:sz w:val="15"/>
          <w:szCs w:val="15"/>
          <w:color w:val="auto"/>
        </w:rPr>
        <w:t>As disclosed in Note 5 to the consolidated financial statements, on March 22, 2021, the Company completed its acquisition of DocSend, Inc. for total consideration of $131.8M. The transaction was accounted for as a business combination in accordance with ASC 805.</w:t>
      </w:r>
    </w:p>
    <w:p>
      <w:pPr>
        <w:spacing w:after="0" w:line="13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Auditing the Company's accounting for its acquisition of DocSend, Inc. was complex due to the significant estimation required by management to determine the fair value of the acquired customer relationship ($8.1M) and developed technology ($11.5M) intangible assets. The Company applied the multi-period excess earnings method to value the customer relationship intangible asset and applied the relief from royalty method to value the developed technology intangible asset. These methods required the development of certain key assumptions, including discount rates, projected revenue growth rates, costs and expenses as a percentage of revenue, and customer attrition rates. These assumptions, taken together, have a significant effect on the estimated fair value of the acquired intangible assets, and could be impacted by future economic and market conditions.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the Company’s accounting for business combinations. For example, we tested the controls over the recognition and determination of the fair value of acquired intangible assets, including the development and review of the valuation models and underlying assumptions used to develop such estimates.</w:t>
      </w:r>
    </w:p>
    <w:p>
      <w:pPr>
        <w:spacing w:after="0" w:line="202"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We reviewed historical results and performed inquiries to validate the completeness of the identified intangible assets. To test the fair value of the customer relationship and developed technology intangible assets, we performed substantive audit procedures that included, among others, involving our valuation specialists to assist with our evaluation of the Company’s selection of valuation methodologies, testing the significant assumptions used to develop the prospective financial information, and testing the completeness and accuracy of the underlying data supporting the significant assumptions and estimates. For example, we compared the significant assumptions to current industry, market and economic trends, and to the historical results of the acquired business. Specifically, when assessing the key assumptions, we focused on discount rates, projected revenue growth rates, costs and expenses as a percentage of revenue, and customer attrition rates.</w:t>
      </w:r>
    </w:p>
    <w:p>
      <w:pPr>
        <w:spacing w:after="0" w:line="200" w:lineRule="exact"/>
        <w:rPr>
          <w:sz w:val="20"/>
          <w:szCs w:val="20"/>
          <w:color w:val="auto"/>
        </w:rPr>
      </w:pPr>
    </w:p>
    <w:p>
      <w:pPr>
        <w:sectPr>
          <w:pgSz w:w="11900" w:h="16838" w:orient="portrait"/>
          <w:cols w:equalWidth="0" w:num="2">
            <w:col w:w="1360" w:space="100"/>
            <w:col w:w="9760"/>
          </w:cols>
          <w:pgMar w:left="320" w:top="130" w:right="35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Ernst &amp; Young LLP</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Company’s auditor since 2013.</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Dropbox, Inc.</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Internal Control Over Financial Reporting</w:t>
      </w:r>
    </w:p>
    <w:p>
      <w:pPr>
        <w:spacing w:after="0" w:line="165"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333333"/>
        </w:rPr>
        <w:t>We have audited Dropbox, Inc.’s internal control over financial reporting as of December 31, 2021, based on criteria established in Internal Control— Integrated Framework issued by the Committee of Sponsoring Organizations of the Treadway Commission (2013 framework) (the COSO criteria). In our opinion, Dropbox, Inc. (the Company) maintained, in all material respects, effective internal control over financial reporting as of December 31, 2021, based on the COSO criteria.</w:t>
      </w:r>
    </w:p>
    <w:p>
      <w:pPr>
        <w:spacing w:after="0" w:line="202" w:lineRule="exact"/>
        <w:rPr>
          <w:sz w:val="20"/>
          <w:szCs w:val="20"/>
          <w:color w:val="auto"/>
        </w:rPr>
      </w:pPr>
    </w:p>
    <w:p>
      <w:pPr>
        <w:ind w:right="420" w:firstLine="629"/>
        <w:spacing w:after="0" w:line="268"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stockholders’ (deficit) equity and cash flows for each of the three years in the period ended December 31, 2021, and the related notes and our report dated February 18, 2022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151"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5"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Definition and Limitations of Internal Control Over Financial Reporting</w:t>
      </w:r>
    </w:p>
    <w:p>
      <w:pPr>
        <w:spacing w:after="0" w:line="165" w:lineRule="exact"/>
        <w:rPr>
          <w:sz w:val="20"/>
          <w:szCs w:val="20"/>
          <w:color w:val="auto"/>
        </w:rPr>
      </w:pPr>
    </w:p>
    <w:p>
      <w:pPr>
        <w:ind w:right="80" w:firstLine="629"/>
        <w:spacing w:after="0" w:line="303" w:lineRule="auto"/>
        <w:rPr>
          <w:sz w:val="20"/>
          <w:szCs w:val="20"/>
          <w:color w:val="auto"/>
        </w:rPr>
      </w:pPr>
      <w:r>
        <w:rPr>
          <w:rFonts w:ascii="Arial" w:cs="Arial" w:eastAsia="Arial" w:hAnsi="Arial"/>
          <w:sz w:val="15"/>
          <w:szCs w:val="15"/>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33333"/>
        </w:rPr>
        <w:t>San Francisco,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333333"/>
        </w:rPr>
        <w:t>February 18, 2022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millions, except for par value)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Short-term investments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 and other receivables,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338.7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(deficit)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and other current liabilities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Accrued compensation and benefits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Finance lease obligation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610.5</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1,175.8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1,087.8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Finance lease liability, non-current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 net, non-current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2,053.4</w:t>
            </w: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7"/>
                <w:szCs w:val="17"/>
                <w:color w:val="auto"/>
              </w:rPr>
              <w:t>Commitments and contingencies (Note 10)</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340"/>
              <w:spacing w:after="0" w:line="172" w:lineRule="exact"/>
              <w:rPr>
                <w:sz w:val="20"/>
                <w:szCs w:val="20"/>
                <w:color w:val="auto"/>
              </w:rPr>
            </w:pPr>
            <w:r>
              <w:rPr>
                <w:rFonts w:ascii="Arial" w:cs="Arial" w:eastAsia="Arial" w:hAnsi="Arial"/>
                <w:sz w:val="17"/>
                <w:szCs w:val="17"/>
                <w:color w:val="auto"/>
                <w:w w:val="99"/>
              </w:rPr>
              <w:t>Convertible preferred stock, $0.00001 par value; no shares authorized, issued and outstanding as of</w:t>
            </w:r>
          </w:p>
        </w:tc>
        <w:tc>
          <w:tcPr>
            <w:tcW w:w="3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tcPr>
          <w:p>
            <w:pPr>
              <w:ind w:left="340"/>
              <w:spacing w:after="0"/>
              <w:rPr>
                <w:sz w:val="20"/>
                <w:szCs w:val="20"/>
                <w:color w:val="auto"/>
              </w:rPr>
            </w:pPr>
            <w:r>
              <w:rPr>
                <w:rFonts w:ascii="Arial" w:cs="Arial" w:eastAsia="Arial" w:hAnsi="Arial"/>
                <w:sz w:val="17"/>
                <w:szCs w:val="17"/>
                <w:color w:val="auto"/>
              </w:rPr>
              <w:t>December 31, 2021; no shares authorized, issued and outstanding as of December 31, 2020</w:t>
            </w:r>
          </w:p>
        </w:tc>
        <w:tc>
          <w:tcPr>
            <w:tcW w:w="3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w w:val="94"/>
              </w:rPr>
              <w:t>Preferred stock, $0.00001 par value; 240.0 shares authorized and no shares issued and outstanding as of</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5"/>
              </w:rPr>
              <w:t>December 31, 2021; 240.0 shares authorized and no shares issued and outstanding as of December 31,</w:t>
            </w:r>
          </w:p>
        </w:tc>
        <w:tc>
          <w:tcPr>
            <w:tcW w:w="3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2020</w:t>
            </w:r>
          </w:p>
        </w:tc>
        <w:tc>
          <w:tcPr>
            <w:tcW w:w="36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340"/>
              <w:spacing w:after="0" w:line="172" w:lineRule="exact"/>
              <w:rPr>
                <w:sz w:val="20"/>
                <w:szCs w:val="20"/>
                <w:color w:val="auto"/>
              </w:rPr>
            </w:pPr>
            <w:r>
              <w:rPr>
                <w:rFonts w:ascii="Arial" w:cs="Arial" w:eastAsia="Arial" w:hAnsi="Arial"/>
                <w:sz w:val="17"/>
                <w:szCs w:val="17"/>
                <w:color w:val="auto"/>
                <w:w w:val="93"/>
              </w:rPr>
              <w:t>Common stock, $0.00001 par value; Class A common stock - 2,400.0 shares authorized and 292.7 shares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340"/>
              <w:spacing w:after="0" w:line="171" w:lineRule="exact"/>
              <w:rPr>
                <w:sz w:val="20"/>
                <w:szCs w:val="20"/>
                <w:color w:val="auto"/>
              </w:rPr>
            </w:pPr>
            <w:r>
              <w:rPr>
                <w:rFonts w:ascii="Arial" w:cs="Arial" w:eastAsia="Arial" w:hAnsi="Arial"/>
                <w:sz w:val="17"/>
                <w:szCs w:val="17"/>
                <w:color w:val="auto"/>
                <w:w w:val="93"/>
              </w:rPr>
              <w:t>issued and outstanding as of December 31, 2021; 2,400.0 shares authorized and 322.3 shares issued and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340"/>
              <w:spacing w:after="0" w:line="171" w:lineRule="exact"/>
              <w:rPr>
                <w:sz w:val="20"/>
                <w:szCs w:val="20"/>
                <w:color w:val="auto"/>
              </w:rPr>
            </w:pPr>
            <w:r>
              <w:rPr>
                <w:rFonts w:ascii="Arial" w:cs="Arial" w:eastAsia="Arial" w:hAnsi="Arial"/>
                <w:sz w:val="17"/>
                <w:szCs w:val="17"/>
                <w:color w:val="auto"/>
                <w:w w:val="94"/>
              </w:rPr>
              <w:t>outstanding as of December 31, 2020; Class B common stock - 475.0 shares authorized and 82.8 shares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340"/>
              <w:spacing w:after="0" w:line="171" w:lineRule="exact"/>
              <w:rPr>
                <w:sz w:val="20"/>
                <w:szCs w:val="20"/>
                <w:color w:val="auto"/>
              </w:rPr>
            </w:pPr>
            <w:r>
              <w:rPr>
                <w:rFonts w:ascii="Arial" w:cs="Arial" w:eastAsia="Arial" w:hAnsi="Arial"/>
                <w:sz w:val="17"/>
                <w:szCs w:val="17"/>
                <w:color w:val="auto"/>
                <w:w w:val="92"/>
              </w:rPr>
              <w:t>issued and outstanding as of December 31, 2021; 475.0 shares authorized and 83.5 issued and outstanding</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340"/>
              <w:spacing w:after="0" w:line="171" w:lineRule="exact"/>
              <w:rPr>
                <w:sz w:val="20"/>
                <w:szCs w:val="20"/>
                <w:color w:val="auto"/>
              </w:rPr>
            </w:pPr>
            <w:r>
              <w:rPr>
                <w:rFonts w:ascii="Arial" w:cs="Arial" w:eastAsia="Arial" w:hAnsi="Arial"/>
                <w:sz w:val="17"/>
                <w:szCs w:val="17"/>
                <w:color w:val="auto"/>
                <w:w w:val="97"/>
              </w:rPr>
              <w:t>as of December 31, 2020; Class C common stock - 800.0 shares authorized and no shares issues and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340"/>
              <w:spacing w:after="0" w:line="171" w:lineRule="exact"/>
              <w:rPr>
                <w:sz w:val="20"/>
                <w:szCs w:val="20"/>
                <w:color w:val="auto"/>
              </w:rPr>
            </w:pPr>
            <w:r>
              <w:rPr>
                <w:rFonts w:ascii="Arial" w:cs="Arial" w:eastAsia="Arial" w:hAnsi="Arial"/>
                <w:sz w:val="17"/>
                <w:szCs w:val="17"/>
                <w:color w:val="auto"/>
                <w:w w:val="92"/>
              </w:rPr>
              <w:t>outstanding as of December 31, 2021; 800.0 shares authorized and no shares issued and outstanding as of</w:t>
            </w:r>
          </w:p>
        </w:tc>
        <w:tc>
          <w:tcPr>
            <w:tcW w:w="3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tcPr>
          <w:p>
            <w:pPr>
              <w:ind w:left="340"/>
              <w:spacing w:after="0"/>
              <w:rPr>
                <w:sz w:val="20"/>
                <w:szCs w:val="20"/>
                <w:color w:val="auto"/>
              </w:rPr>
            </w:pPr>
            <w:r>
              <w:rPr>
                <w:rFonts w:ascii="Arial" w:cs="Arial" w:eastAsia="Arial" w:hAnsi="Arial"/>
                <w:sz w:val="17"/>
                <w:szCs w:val="17"/>
                <w:color w:val="auto"/>
              </w:rPr>
              <w:t>December 31, 2020</w:t>
            </w:r>
          </w:p>
        </w:tc>
        <w:tc>
          <w:tcPr>
            <w:tcW w:w="3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2,564.3</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(2,241.4)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 income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(deficit) equity</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(deficit) equity</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millions, except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2"/>
              </w:rPr>
              <w:t>Year ended December 31,</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2,157.9</w:t>
            </w:r>
          </w:p>
        </w:tc>
        <w:tc>
          <w:tcPr>
            <w:tcW w:w="5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1,661.3</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380"/>
              <w:spacing w:after="0" w:line="223"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1,713.7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line="22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662.1</w:t>
            </w:r>
          </w:p>
        </w:tc>
        <w:tc>
          <w:tcPr>
            <w:tcW w:w="0" w:type="dxa"/>
            <w:vAlign w:val="bottom"/>
          </w:tcPr>
          <w:p>
            <w:pPr>
              <w:spacing w:after="0"/>
              <w:rPr>
                <w:sz w:val="1"/>
                <w:szCs w:val="1"/>
                <w:color w:val="auto"/>
              </w:rPr>
            </w:pPr>
          </w:p>
        </w:tc>
      </w:tr>
      <w:tr>
        <w:trPr>
          <w:trHeight w:val="223"/>
        </w:trPr>
        <w:tc>
          <w:tcPr>
            <w:tcW w:w="57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423.3</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340"/>
              <w:spacing w:after="0" w:line="223"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1,439.3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1,330.8</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(80.5)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income,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line="223" w:lineRule="exact"/>
              <w:rPr>
                <w:sz w:val="20"/>
                <w:szCs w:val="20"/>
                <w:color w:val="auto"/>
              </w:rPr>
            </w:pPr>
            <w:r>
              <w:rPr>
                <w:rFonts w:ascii="Arial" w:cs="Arial" w:eastAsia="Arial" w:hAnsi="Arial"/>
                <w:sz w:val="17"/>
                <w:szCs w:val="17"/>
                <w:color w:val="auto"/>
              </w:rPr>
              <w:t>Benefit from (provision for) income taxes</w:t>
            </w:r>
            <w:r>
              <w:rPr>
                <w:rFonts w:ascii="Arial" w:cs="Arial" w:eastAsia="Arial" w:hAnsi="Arial"/>
                <w:sz w:val="22"/>
                <w:szCs w:val="22"/>
                <w:color w:val="auto"/>
                <w:vertAlign w:val="superscript"/>
              </w:rPr>
              <w:t>(3)</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5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(loss) per share-basic and diluted: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(loss) per share</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0"/>
              <w:spacing w:after="0"/>
              <w:rPr>
                <w:sz w:val="20"/>
                <w:szCs w:val="20"/>
                <w:color w:val="auto"/>
              </w:rPr>
            </w:pPr>
            <w:r>
              <w:rPr>
                <w:rFonts w:ascii="Arial" w:cs="Arial" w:eastAsia="Arial" w:hAnsi="Arial"/>
                <w:sz w:val="17"/>
                <w:szCs w:val="17"/>
                <w:color w:val="auto"/>
              </w:rPr>
              <w:t>Diluted net income (loss) per share</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1100" w:type="dxa"/>
            <w:vAlign w:val="bottom"/>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0.85</w:t>
            </w:r>
          </w:p>
        </w:tc>
        <w:tc>
          <w:tcPr>
            <w:tcW w:w="50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6"/>
                <w:szCs w:val="16"/>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740" w:type="dxa"/>
            <w:vAlign w:val="bottom"/>
            <w:shd w:val="clear" w:color="auto" w:fill="CCEEFF"/>
          </w:tcPr>
          <w:p>
            <w:pPr>
              <w:ind w:left="20"/>
              <w:spacing w:after="0" w:line="138" w:lineRule="exact"/>
              <w:rPr>
                <w:sz w:val="20"/>
                <w:szCs w:val="20"/>
                <w:color w:val="auto"/>
              </w:rPr>
            </w:pPr>
            <w:r>
              <w:rPr>
                <w:rFonts w:ascii="Arial" w:cs="Arial" w:eastAsia="Arial" w:hAnsi="Arial"/>
                <w:sz w:val="15"/>
                <w:szCs w:val="15"/>
                <w:color w:val="auto"/>
              </w:rPr>
              <w:t>Weighted-average shares used in computing net income (loss) per share</w:t>
            </w:r>
          </w:p>
        </w:tc>
        <w:tc>
          <w:tcPr>
            <w:tcW w:w="1100" w:type="dxa"/>
            <w:vAlign w:val="bottom"/>
            <w:vMerge w:val="restart"/>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388.0</w:t>
            </w:r>
          </w:p>
        </w:tc>
        <w:tc>
          <w:tcPr>
            <w:tcW w:w="500" w:type="dxa"/>
            <w:vAlign w:val="bottom"/>
            <w:gridSpan w:val="2"/>
            <w:vMerge w:val="restart"/>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414.3</w:t>
            </w:r>
          </w:p>
        </w:tc>
        <w:tc>
          <w:tcPr>
            <w:tcW w:w="10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attributable to common stockholders, basic</w:t>
            </w:r>
          </w:p>
        </w:tc>
        <w:tc>
          <w:tcPr>
            <w:tcW w:w="11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7"/>
                <w:szCs w:val="17"/>
                <w:color w:val="auto"/>
              </w:rPr>
              <w:t>Weighted-average shares used in computing net income (loss) per share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395.8</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414.3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411.6</w:t>
            </w:r>
          </w:p>
        </w:tc>
        <w:tc>
          <w:tcPr>
            <w:tcW w:w="0" w:type="dxa"/>
            <w:vAlign w:val="bottom"/>
          </w:tcPr>
          <w:p>
            <w:pPr>
              <w:spacing w:after="0"/>
              <w:rPr>
                <w:sz w:val="1"/>
                <w:szCs w:val="1"/>
                <w:color w:val="auto"/>
              </w:rPr>
            </w:pPr>
          </w:p>
        </w:tc>
      </w:tr>
      <w:tr>
        <w:trPr>
          <w:trHeight w:val="196"/>
        </w:trPr>
        <w:tc>
          <w:tcPr>
            <w:tcW w:w="5740" w:type="dxa"/>
            <w:vAlign w:val="bottom"/>
          </w:tcPr>
          <w:p>
            <w:pPr>
              <w:ind w:left="180"/>
              <w:spacing w:after="0"/>
              <w:rPr>
                <w:sz w:val="20"/>
                <w:szCs w:val="20"/>
                <w:color w:val="auto"/>
              </w:rPr>
            </w:pPr>
            <w:r>
              <w:rPr>
                <w:rFonts w:ascii="Arial" w:cs="Arial" w:eastAsia="Arial" w:hAnsi="Arial"/>
                <w:sz w:val="17"/>
                <w:szCs w:val="17"/>
                <w:color w:val="auto"/>
              </w:rPr>
              <w:t>attributable to common stockholders, diluted</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420" w:hanging="297"/>
        <w:spacing w:after="0"/>
        <w:tabs>
          <w:tab w:leader="none" w:pos="420"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stock-based compensation as follows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2"/>
              </w:rPr>
              <w:t>Year ended December 31,</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6"/>
        </w:trPr>
        <w:tc>
          <w:tcPr>
            <w:tcW w:w="57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23"/>
        </w:trPr>
        <w:tc>
          <w:tcPr>
            <w:tcW w:w="57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147.6</w:t>
            </w: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r>
      <w:tr>
        <w:trPr>
          <w:trHeight w:val="297"/>
        </w:trPr>
        <w:tc>
          <w:tcPr>
            <w:tcW w:w="5740" w:type="dxa"/>
            <w:vAlign w:val="bottom"/>
          </w:tcPr>
          <w:p>
            <w:pPr>
              <w:ind w:left="34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(4)</w:t>
            </w:r>
          </w:p>
        </w:tc>
        <w:tc>
          <w:tcPr>
            <w:tcW w:w="1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66.4</w:t>
            </w:r>
          </w:p>
        </w:tc>
      </w:tr>
    </w:tbl>
    <w:p>
      <w:pPr>
        <w:spacing w:after="0" w:line="220" w:lineRule="exact"/>
        <w:rPr>
          <w:sz w:val="20"/>
          <w:szCs w:val="20"/>
          <w:color w:val="auto"/>
        </w:rPr>
      </w:pPr>
    </w:p>
    <w:p>
      <w:pPr>
        <w:ind w:left="420" w:hanging="297"/>
        <w:spacing w:after="0"/>
        <w:tabs>
          <w:tab w:leader="none" w:pos="4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our decision to shift to a Virtual First work model. See Note 9 "Leases" for further information.</w:t>
      </w:r>
    </w:p>
    <w:p>
      <w:pPr>
        <w:spacing w:after="0" w:line="197" w:lineRule="exact"/>
        <w:rPr>
          <w:rFonts w:ascii="Arial" w:cs="Arial" w:eastAsia="Arial" w:hAnsi="Arial"/>
          <w:sz w:val="18"/>
          <w:szCs w:val="18"/>
          <w:color w:val="auto"/>
          <w:vertAlign w:val="superscript"/>
        </w:rPr>
      </w:pPr>
    </w:p>
    <w:p>
      <w:pPr>
        <w:ind w:left="420" w:hanging="297"/>
        <w:spacing w:after="0"/>
        <w:tabs>
          <w:tab w:leader="none" w:pos="420"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Fourth quarter and full-year 2021 GAAP net income was impacted by a $38.1 million one-time income tax benefit from the release of a valuation allowance on our Irish deferred tax assets.</w:t>
      </w:r>
    </w:p>
    <w:p>
      <w:pPr>
        <w:spacing w:after="0" w:line="214" w:lineRule="exact"/>
        <w:rPr>
          <w:rFonts w:ascii="Arial" w:cs="Arial" w:eastAsia="Arial" w:hAnsi="Arial"/>
          <w:sz w:val="17"/>
          <w:szCs w:val="17"/>
          <w:color w:val="auto"/>
          <w:vertAlign w:val="superscript"/>
        </w:rPr>
      </w:pPr>
    </w:p>
    <w:p>
      <w:pPr>
        <w:ind w:left="440" w:right="560" w:hanging="317"/>
        <w:spacing w:after="0" w:line="250" w:lineRule="auto"/>
        <w:tabs>
          <w:tab w:leader="none" w:pos="428"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millions)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w w:val="94"/>
              </w:rPr>
              <w:t>Year ended December 31,</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54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foreign currency translation adjustments</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54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Change in net unrealized (losses) gains on short-term investments</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(loss) income, net of tax</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 (loss)</w:t>
            </w: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0" w:type="dxa"/>
            <w:vAlign w:val="bottom"/>
            <w:vMerge w:val="continue"/>
          </w:tcPr>
          <w:p>
            <w:pPr>
              <w:spacing w:after="0"/>
              <w:rPr>
                <w:sz w:val="16"/>
                <w:szCs w:val="16"/>
                <w:color w:val="auto"/>
              </w:rPr>
            </w:pPr>
          </w:p>
        </w:tc>
        <w:tc>
          <w:tcPr>
            <w:tcW w:w="1260" w:type="dxa"/>
            <w:vAlign w:val="bottom"/>
          </w:tcPr>
          <w:p>
            <w:pPr>
              <w:jc w:val="right"/>
              <w:ind w:right="10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322.3</w:t>
            </w:r>
          </w:p>
        </w:tc>
        <w:tc>
          <w:tcPr>
            <w:tcW w:w="54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(248.7)</w:t>
            </w:r>
          </w:p>
        </w:tc>
        <w:tc>
          <w:tcPr>
            <w:tcW w:w="100" w:type="dxa"/>
            <w:vAlign w:val="bottom"/>
          </w:tcPr>
          <w:p>
            <w:pPr>
              <w:spacing w:after="0"/>
              <w:rPr>
                <w:sz w:val="16"/>
                <w:szCs w:val="16"/>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STOCKHOLDERS’ (DEFICIT) EQUITY</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millions)</w:t>
      </w:r>
    </w:p>
    <w:p>
      <w:pPr>
        <w:sectPr>
          <w:pgSz w:w="11900" w:h="16838" w:orient="portrait"/>
          <w:cols w:equalWidth="0" w:num="1">
            <w:col w:w="11200"/>
          </w:cols>
          <w:pgMar w:left="320" w:top="130" w:right="379" w:bottom="1440" w:gutter="0" w:footer="0" w:header="0"/>
        </w:sectPr>
      </w:pPr>
    </w:p>
    <w:p>
      <w:pPr>
        <w:spacing w:after="0" w:line="239" w:lineRule="exact"/>
        <w:rPr>
          <w:sz w:val="20"/>
          <w:szCs w:val="20"/>
          <w:color w:val="auto"/>
        </w:rPr>
      </w:pPr>
    </w:p>
    <w:tbl>
      <w:tblPr>
        <w:tblLayout w:type="fixed"/>
        <w:tblInd w:w="3200" w:type="dxa"/>
        <w:tblCellMar>
          <w:top w:w="0" w:type="dxa"/>
          <w:left w:w="0" w:type="dxa"/>
          <w:bottom w:w="0" w:type="dxa"/>
          <w:right w:w="0" w:type="dxa"/>
        </w:tblCellMar>
      </w:tblPr>
      <w:tr>
        <w:trPr>
          <w:trHeight w:val="195"/>
        </w:trPr>
        <w:tc>
          <w:tcPr>
            <w:tcW w:w="1580" w:type="dxa"/>
            <w:vAlign w:val="bottom"/>
            <w:gridSpan w:val="2"/>
            <w:vMerge w:val="restart"/>
          </w:tcPr>
          <w:p>
            <w:pPr>
              <w:jc w:val="center"/>
              <w:ind w:right="60"/>
              <w:spacing w:after="0"/>
              <w:rPr>
                <w:sz w:val="20"/>
                <w:szCs w:val="20"/>
                <w:color w:val="auto"/>
              </w:rPr>
            </w:pPr>
            <w:r>
              <w:rPr>
                <w:rFonts w:ascii="Arial" w:cs="Arial" w:eastAsia="Arial" w:hAnsi="Arial"/>
                <w:sz w:val="17"/>
                <w:szCs w:val="17"/>
                <w:b w:val="1"/>
                <w:bCs w:val="1"/>
                <w:color w:val="auto"/>
                <w:w w:val="94"/>
              </w:rPr>
              <w:t>Convertible</w:t>
            </w:r>
          </w:p>
        </w:tc>
        <w:tc>
          <w:tcPr>
            <w:tcW w:w="1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Class A and Class</w:t>
            </w: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1"/>
              </w:rPr>
              <w:t>Accumulated</w:t>
            </w:r>
          </w:p>
        </w:tc>
        <w:tc>
          <w:tcPr>
            <w:tcW w:w="0" w:type="dxa"/>
            <w:vAlign w:val="bottom"/>
          </w:tcPr>
          <w:p>
            <w:pPr>
              <w:spacing w:after="0"/>
              <w:rPr>
                <w:sz w:val="1"/>
                <w:szCs w:val="1"/>
                <w:color w:val="auto"/>
              </w:rPr>
            </w:pPr>
          </w:p>
        </w:tc>
      </w:tr>
      <w:tr>
        <w:trPr>
          <w:trHeight w:val="105"/>
        </w:trPr>
        <w:tc>
          <w:tcPr>
            <w:tcW w:w="158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980" w:type="dxa"/>
            <w:vAlign w:val="bottom"/>
            <w:vMerge w:val="restart"/>
          </w:tcPr>
          <w:p>
            <w:pPr>
              <w:jc w:val="center"/>
              <w:spacing w:after="0" w:line="171" w:lineRule="exact"/>
              <w:rPr>
                <w:sz w:val="20"/>
                <w:szCs w:val="20"/>
                <w:color w:val="auto"/>
              </w:rPr>
            </w:pPr>
            <w:r>
              <w:rPr>
                <w:rFonts w:ascii="Arial" w:cs="Arial" w:eastAsia="Arial" w:hAnsi="Arial"/>
                <w:sz w:val="17"/>
                <w:szCs w:val="17"/>
                <w:b w:val="1"/>
                <w:bCs w:val="1"/>
                <w:color w:val="auto"/>
                <w:w w:val="96"/>
              </w:rPr>
              <w:t>Additional</w:t>
            </w:r>
          </w:p>
        </w:tc>
        <w:tc>
          <w:tcPr>
            <w:tcW w:w="1140" w:type="dxa"/>
            <w:vAlign w:val="bottom"/>
          </w:tcPr>
          <w:p>
            <w:pPr>
              <w:spacing w:after="0"/>
              <w:rPr>
                <w:sz w:val="9"/>
                <w:szCs w:val="9"/>
                <w:color w:val="auto"/>
              </w:rPr>
            </w:pPr>
          </w:p>
        </w:tc>
        <w:tc>
          <w:tcPr>
            <w:tcW w:w="1180" w:type="dxa"/>
            <w:vAlign w:val="bottom"/>
            <w:vMerge w:val="restart"/>
          </w:tcPr>
          <w:p>
            <w:pPr>
              <w:jc w:val="center"/>
              <w:spacing w:after="0" w:line="171" w:lineRule="exact"/>
              <w:rPr>
                <w:sz w:val="20"/>
                <w:szCs w:val="20"/>
                <w:color w:val="auto"/>
              </w:rPr>
            </w:pPr>
            <w:r>
              <w:rPr>
                <w:rFonts w:ascii="Arial" w:cs="Arial" w:eastAsia="Arial" w:hAnsi="Arial"/>
                <w:sz w:val="17"/>
                <w:szCs w:val="17"/>
                <w:b w:val="1"/>
                <w:bCs w:val="1"/>
                <w:color w:val="auto"/>
                <w:w w:val="94"/>
              </w:rPr>
              <w:t>other</w:t>
            </w:r>
          </w:p>
        </w:tc>
        <w:tc>
          <w:tcPr>
            <w:tcW w:w="0" w:type="dxa"/>
            <w:vAlign w:val="bottom"/>
          </w:tcPr>
          <w:p>
            <w:pPr>
              <w:spacing w:after="0"/>
              <w:rPr>
                <w:sz w:val="1"/>
                <w:szCs w:val="1"/>
                <w:color w:val="auto"/>
              </w:rPr>
            </w:pPr>
          </w:p>
        </w:tc>
      </w:tr>
      <w:tr>
        <w:trPr>
          <w:trHeight w:val="66"/>
        </w:trPr>
        <w:tc>
          <w:tcPr>
            <w:tcW w:w="1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preferred stock</w:t>
            </w:r>
          </w:p>
        </w:tc>
        <w:tc>
          <w:tcPr>
            <w:tcW w:w="80" w:type="dxa"/>
            <w:vAlign w:val="bottom"/>
            <w:vMerge w:val="restart"/>
          </w:tcPr>
          <w:p>
            <w:pPr>
              <w:spacing w:after="0"/>
              <w:rPr>
                <w:sz w:val="5"/>
                <w:szCs w:val="5"/>
                <w:color w:val="auto"/>
              </w:rPr>
            </w:pPr>
          </w:p>
        </w:tc>
        <w:tc>
          <w:tcPr>
            <w:tcW w:w="1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B common stock</w:t>
            </w:r>
          </w:p>
        </w:tc>
        <w:tc>
          <w:tcPr>
            <w:tcW w:w="9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9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3"/>
              </w:rPr>
              <w:t>paid-in</w:t>
            </w:r>
          </w:p>
        </w:tc>
        <w:tc>
          <w:tcPr>
            <w:tcW w:w="11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1"/>
              </w:rPr>
              <w:t>Accumulated</w:t>
            </w:r>
          </w:p>
        </w:tc>
        <w:tc>
          <w:tcPr>
            <w:tcW w:w="11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89"/>
              </w:rPr>
              <w:t>comprehensive</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9"/>
              </w:rPr>
              <w:t>Shares   Amount</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9"/>
              </w:rPr>
              <w:t>Shares   Amount</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6"/>
              </w:rPr>
              <w:t>capital</w:t>
            </w: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91"/>
              </w:rPr>
              <w:t>deficit</w:t>
            </w: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87"/>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Total</w:t>
      </w:r>
    </w:p>
    <w:p>
      <w:pPr>
        <w:spacing w:after="0" w:line="209" w:lineRule="auto"/>
        <w:rPr>
          <w:sz w:val="20"/>
          <w:szCs w:val="20"/>
          <w:color w:val="auto"/>
        </w:rPr>
      </w:pPr>
      <w:r>
        <w:rPr>
          <w:rFonts w:ascii="Arial" w:cs="Arial" w:eastAsia="Arial" w:hAnsi="Arial"/>
          <w:sz w:val="17"/>
          <w:szCs w:val="17"/>
          <w:b w:val="1"/>
          <w:bCs w:val="1"/>
          <w:color w:val="auto"/>
        </w:rPr>
        <w:t>stockholders’</w:t>
      </w:r>
    </w:p>
    <w:p>
      <w:pPr>
        <w:jc w:val="right"/>
        <w:ind w:right="20"/>
        <w:spacing w:after="0"/>
        <w:rPr>
          <w:sz w:val="20"/>
          <w:szCs w:val="20"/>
          <w:color w:val="auto"/>
        </w:rPr>
      </w:pPr>
      <w:r>
        <w:rPr>
          <w:rFonts w:ascii="Arial" w:cs="Arial" w:eastAsia="Arial" w:hAnsi="Arial"/>
          <w:sz w:val="17"/>
          <w:szCs w:val="17"/>
          <w:b w:val="1"/>
          <w:bCs w:val="1"/>
          <w:color w:val="auto"/>
        </w:rPr>
        <w:t>(deficit)equity</w:t>
      </w:r>
    </w:p>
    <w:p>
      <w:pPr>
        <w:spacing w:after="0" w:line="26" w:lineRule="exact"/>
        <w:rPr>
          <w:sz w:val="20"/>
          <w:szCs w:val="20"/>
          <w:color w:val="auto"/>
        </w:rPr>
      </w:pPr>
    </w:p>
    <w:p>
      <w:pPr>
        <w:sectPr>
          <w:pgSz w:w="11900" w:h="16838" w:orient="portrait"/>
          <w:cols w:equalWidth="0" w:num="2">
            <w:col w:w="9580" w:space="360"/>
            <w:col w:w="1260"/>
          </w:cols>
          <w:pgMar w:left="320" w:top="130" w:right="3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2,337.5</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(1,659.5)</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676.8</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rPr>
              <w:t>Cumulative-effect from adoption of ASC</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7"/>
                <w:szCs w:val="17"/>
                <w:color w:val="auto"/>
              </w:rPr>
              <w:t>842</w:t>
            </w:r>
          </w:p>
        </w:tc>
        <w:tc>
          <w:tcPr>
            <w:tcW w:w="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Release of restricted stock units and awards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rPr>
              <w:t>Shares withheld related to net share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(70.4)</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7"/>
                <w:szCs w:val="17"/>
                <w:color w:val="auto"/>
              </w:rPr>
              <w:t>settlement</w:t>
            </w:r>
          </w:p>
        </w:tc>
        <w:tc>
          <w:tcPr>
            <w:tcW w:w="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of stock options and awards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rPr>
              <w:t>Assumed stock options in connection with</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7"/>
                <w:szCs w:val="17"/>
                <w:color w:val="auto"/>
              </w:rPr>
              <w:t>acquisition</w:t>
            </w:r>
          </w:p>
        </w:tc>
        <w:tc>
          <w:tcPr>
            <w:tcW w:w="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417.0</w:t>
            </w:r>
          </w:p>
        </w:tc>
        <w:tc>
          <w:tcPr>
            <w:tcW w:w="8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2,531.3</w:t>
            </w:r>
          </w:p>
        </w:tc>
        <w:tc>
          <w:tcPr>
            <w:tcW w:w="6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(1,726.2)</w:t>
            </w:r>
          </w:p>
        </w:tc>
        <w:tc>
          <w:tcPr>
            <w:tcW w:w="8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c>
          <w:tcPr>
            <w:tcW w:w="60" w:type="dxa"/>
            <w:vAlign w:val="bottom"/>
          </w:tcPr>
          <w:p>
            <w:pPr>
              <w:spacing w:after="0"/>
              <w:rPr>
                <w:sz w:val="18"/>
                <w:szCs w:val="18"/>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808.4</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Release of restricted stock units and awards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rPr>
              <w:t>Shares withheld related to net share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(43.5)</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(48.7)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7"/>
                <w:szCs w:val="17"/>
                <w:color w:val="auto"/>
              </w:rPr>
              <w:t>settlement</w:t>
            </w:r>
          </w:p>
        </w:tc>
        <w:tc>
          <w:tcPr>
            <w:tcW w:w="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Repurchases of common stock</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Exercise of stock options and awards</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7.6</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405.7</w:t>
            </w:r>
          </w:p>
        </w:tc>
        <w:tc>
          <w:tcPr>
            <w:tcW w:w="8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2,564.3</w:t>
            </w:r>
          </w:p>
        </w:tc>
        <w:tc>
          <w:tcPr>
            <w:tcW w:w="6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(2,241.4)</w:t>
            </w:r>
          </w:p>
        </w:tc>
        <w:tc>
          <w:tcPr>
            <w:tcW w:w="8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10.9</w:t>
            </w:r>
          </w:p>
        </w:tc>
        <w:tc>
          <w:tcPr>
            <w:tcW w:w="60" w:type="dxa"/>
            <w:vAlign w:val="bottom"/>
          </w:tcPr>
          <w:p>
            <w:pPr>
              <w:spacing w:after="0"/>
              <w:rPr>
                <w:sz w:val="18"/>
                <w:szCs w:val="18"/>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Release of restricted stock units and awards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rPr>
              <w:t>Shares withheld related to net share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line="171" w:lineRule="exact"/>
              <w:rPr>
                <w:sz w:val="20"/>
                <w:szCs w:val="20"/>
                <w:color w:val="auto"/>
              </w:rPr>
            </w:pPr>
            <w:r>
              <w:rPr>
                <w:rFonts w:ascii="Arial" w:cs="Arial" w:eastAsia="Arial" w:hAnsi="Arial"/>
                <w:sz w:val="17"/>
                <w:szCs w:val="17"/>
                <w:color w:val="auto"/>
              </w:rPr>
              <w:t>settlement of restricted stock units and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7"/>
                <w:szCs w:val="17"/>
                <w:color w:val="auto"/>
              </w:rPr>
              <w:t>awards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Repurchases of common stock</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Exercise of stock options and awards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Assumed stock options in connection with</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w w:val="94"/>
              </w:rPr>
              <w:t>Purchase of bond hedges in connection with</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7"/>
                <w:szCs w:val="17"/>
                <w:color w:val="auto"/>
              </w:rPr>
              <w:t>issuance of convertible senior notes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(265.3)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4"/>
              </w:rPr>
              <w:t>Sale of warrants in connection with issuance</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convertible senior notes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line="172" w:lineRule="exact"/>
              <w:rPr>
                <w:sz w:val="20"/>
                <w:szCs w:val="20"/>
                <w:color w:val="auto"/>
              </w:rPr>
            </w:pPr>
            <w:r>
              <w:rPr>
                <w:rFonts w:ascii="Arial" w:cs="Arial" w:eastAsia="Arial" w:hAnsi="Arial"/>
                <w:sz w:val="17"/>
                <w:szCs w:val="17"/>
                <w:color w:val="auto"/>
              </w:rPr>
              <w:t>Tax benefit attributable to bond hedges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line="171" w:lineRule="exact"/>
              <w:rPr>
                <w:sz w:val="20"/>
                <w:szCs w:val="20"/>
                <w:color w:val="auto"/>
              </w:rPr>
            </w:pPr>
            <w:r>
              <w:rPr>
                <w:rFonts w:ascii="Arial" w:cs="Arial" w:eastAsia="Arial" w:hAnsi="Arial"/>
                <w:sz w:val="17"/>
                <w:szCs w:val="17"/>
                <w:color w:val="auto"/>
              </w:rPr>
              <w:t>purchased in connection with issuance of</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7"/>
                <w:szCs w:val="17"/>
                <w:color w:val="auto"/>
              </w:rPr>
              <w:t>convertible senior notes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375.5</w:t>
            </w:r>
          </w:p>
        </w:tc>
        <w:tc>
          <w:tcPr>
            <w:tcW w:w="8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2,448.1</w:t>
            </w:r>
          </w:p>
        </w:tc>
        <w:tc>
          <w:tcPr>
            <w:tcW w:w="6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(2,739.4)</w:t>
            </w:r>
          </w:p>
        </w:tc>
        <w:tc>
          <w:tcPr>
            <w:tcW w:w="8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8"/>
                <w:szCs w:val="18"/>
                <w:color w:val="auto"/>
              </w:rPr>
            </w:pP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(293.9)</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w w:val="92"/>
              </w:rPr>
              <w:t>Year ended December 31,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18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335.8</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(256.3)</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Adjustments to reconcile net loss to net cash provided by operating activities: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debt issuance costs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80"/>
              <w:spacing w:after="0"/>
              <w:rPr>
                <w:sz w:val="20"/>
                <w:szCs w:val="20"/>
                <w:color w:val="auto"/>
              </w:rPr>
            </w:pPr>
            <w:r>
              <w:rPr>
                <w:rFonts w:ascii="Arial" w:cs="Arial" w:eastAsia="Arial" w:hAnsi="Arial"/>
                <w:sz w:val="17"/>
                <w:szCs w:val="17"/>
                <w:color w:val="auto"/>
              </w:rPr>
              <w:t>Net gains on equity investments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deferred commissions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Net gains on lease termination</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 and other receivables, net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and other current liabilities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Accrued compensation and benefits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Other non-current liabilities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Tenant improvement allowance reimbursement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Cash paid for lease termination</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expenditures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Purchase of intangible assets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Business combinations, net of cash acquired</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Purchases of short-term investments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6"/>
              </w:rPr>
              <w:t>(1,138.4)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(775.4)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maturities of short-term investments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Proceeds from sales of short-term investments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456.1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7"/>
                <w:szCs w:val="17"/>
                <w:color w:val="auto"/>
              </w:rPr>
              <w:t>Proceeds from issuance of convertible senior notes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1,389.1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552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rPr>
              <w:t>Purchases of convertible note hedge in connection with issuance of</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convertible senior notes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520" w:type="dxa"/>
            <w:vAlign w:val="bottom"/>
          </w:tcPr>
          <w:p>
            <w:pPr>
              <w:ind w:left="340"/>
              <w:spacing w:after="0" w:line="172" w:lineRule="exact"/>
              <w:rPr>
                <w:sz w:val="20"/>
                <w:szCs w:val="20"/>
                <w:color w:val="auto"/>
              </w:rPr>
            </w:pPr>
            <w:r>
              <w:rPr>
                <w:rFonts w:ascii="Arial" w:cs="Arial" w:eastAsia="Arial" w:hAnsi="Arial"/>
                <w:sz w:val="17"/>
                <w:szCs w:val="17"/>
                <w:color w:val="auto"/>
                <w:w w:val="93"/>
              </w:rPr>
              <w:t>Proceeds from sale of warrants in connection with issuance of convertible</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520" w:type="dxa"/>
            <w:vAlign w:val="bottom"/>
          </w:tcPr>
          <w:p>
            <w:pPr>
              <w:ind w:left="340"/>
              <w:spacing w:after="0"/>
              <w:rPr>
                <w:sz w:val="20"/>
                <w:szCs w:val="20"/>
                <w:color w:val="auto"/>
              </w:rPr>
            </w:pPr>
            <w:r>
              <w:rPr>
                <w:rFonts w:ascii="Arial" w:cs="Arial" w:eastAsia="Arial" w:hAnsi="Arial"/>
                <w:sz w:val="17"/>
                <w:szCs w:val="17"/>
                <w:color w:val="auto"/>
              </w:rPr>
              <w:t>senior notes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 of debt issuance costs</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520" w:type="dxa"/>
            <w:vAlign w:val="bottom"/>
          </w:tcPr>
          <w:p>
            <w:pPr>
              <w:ind w:left="340"/>
              <w:spacing w:after="0" w:line="172" w:lineRule="exact"/>
              <w:rPr>
                <w:sz w:val="20"/>
                <w:szCs w:val="20"/>
                <w:color w:val="auto"/>
              </w:rPr>
            </w:pPr>
            <w:r>
              <w:rPr>
                <w:rFonts w:ascii="Arial" w:cs="Arial" w:eastAsia="Arial" w:hAnsi="Arial"/>
                <w:sz w:val="17"/>
                <w:szCs w:val="17"/>
                <w:color w:val="auto"/>
                <w:w w:val="92"/>
              </w:rPr>
              <w:t>Payments for taxes related to net share settlement of restricted stock units</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(124.8)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(92.2)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(85.4)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340"/>
              <w:spacing w:after="0"/>
              <w:rPr>
                <w:sz w:val="20"/>
                <w:szCs w:val="20"/>
                <w:color w:val="auto"/>
              </w:rPr>
            </w:pPr>
            <w:r>
              <w:rPr>
                <w:rFonts w:ascii="Arial" w:cs="Arial" w:eastAsia="Arial" w:hAnsi="Arial"/>
                <w:sz w:val="17"/>
                <w:szCs w:val="17"/>
                <w:color w:val="auto"/>
              </w:rPr>
              <w:t>and awards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issuance of common stock, net of taxes withheld</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340"/>
              <w:spacing w:after="0"/>
              <w:rPr>
                <w:sz w:val="20"/>
                <w:szCs w:val="20"/>
                <w:color w:val="auto"/>
              </w:rPr>
            </w:pPr>
            <w:r>
              <w:rPr>
                <w:rFonts w:ascii="Arial" w:cs="Arial" w:eastAsia="Arial" w:hAnsi="Arial"/>
                <w:sz w:val="17"/>
                <w:szCs w:val="17"/>
                <w:color w:val="auto"/>
              </w:rPr>
              <w:t>Principal payments on finance lease obligations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5"/>
        </w:trPr>
        <w:tc>
          <w:tcPr>
            <w:tcW w:w="5520" w:type="dxa"/>
            <w:vAlign w:val="bottom"/>
          </w:tcPr>
          <w:p>
            <w:pPr>
              <w:spacing w:after="0"/>
              <w:rPr>
                <w:sz w:val="24"/>
                <w:szCs w:val="24"/>
                <w:color w:val="auto"/>
              </w:rPr>
            </w:pPr>
          </w:p>
        </w:tc>
        <w:tc>
          <w:tcPr>
            <w:tcW w:w="1180" w:type="dxa"/>
            <w:vAlign w:val="bottom"/>
            <w:gridSpan w:val="2"/>
          </w:tcPr>
          <w:p>
            <w:pPr>
              <w:jc w:val="right"/>
              <w:ind w:right="893"/>
              <w:spacing w:after="0"/>
              <w:rPr>
                <w:sz w:val="20"/>
                <w:szCs w:val="20"/>
                <w:color w:val="auto"/>
              </w:rPr>
            </w:pPr>
            <w:r>
              <w:rPr>
                <w:rFonts w:ascii="Arial" w:cs="Arial" w:eastAsia="Arial" w:hAnsi="Arial"/>
                <w:sz w:val="17"/>
                <w:szCs w:val="17"/>
                <w:color w:val="auto"/>
                <w:w w:val="94"/>
              </w:rPr>
              <w:t>71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repurchases</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600" w:type="dxa"/>
            <w:vAlign w:val="bottom"/>
          </w:tcPr>
          <w:p>
            <w:pPr>
              <w:ind w:left="340"/>
              <w:spacing w:after="0"/>
              <w:rPr>
                <w:sz w:val="20"/>
                <w:szCs w:val="20"/>
                <w:color w:val="auto"/>
              </w:rPr>
            </w:pPr>
            <w:r>
              <w:rPr>
                <w:rFonts w:ascii="Arial" w:cs="Arial" w:eastAsia="Arial" w:hAnsi="Arial"/>
                <w:sz w:val="17"/>
                <w:szCs w:val="17"/>
                <w:color w:val="auto"/>
              </w:rPr>
              <w:t>Other</w:t>
            </w:r>
          </w:p>
        </w:tc>
        <w:tc>
          <w:tcPr>
            <w:tcW w:w="6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6"/>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6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cash and cash equivalents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equivalents—end of period</w:t>
            </w: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data:</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during the period for:</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660"/>
              <w:spacing w:after="0"/>
              <w:rPr>
                <w:sz w:val="20"/>
                <w:szCs w:val="20"/>
                <w:color w:val="auto"/>
              </w:rPr>
            </w:pPr>
            <w:r>
              <w:rPr>
                <w:rFonts w:ascii="Arial" w:cs="Arial" w:eastAsia="Arial" w:hAnsi="Arial"/>
                <w:sz w:val="17"/>
                <w:szCs w:val="17"/>
                <w:color w:val="auto"/>
              </w:rPr>
              <w:t>Interest</w:t>
            </w: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Income taxes</w:t>
            </w: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Non-cash investing and financing activities: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660"/>
              <w:spacing w:after="0" w:line="172" w:lineRule="exact"/>
              <w:rPr>
                <w:sz w:val="20"/>
                <w:szCs w:val="20"/>
                <w:color w:val="auto"/>
              </w:rPr>
            </w:pPr>
            <w:r>
              <w:rPr>
                <w:rFonts w:ascii="Arial" w:cs="Arial" w:eastAsia="Arial" w:hAnsi="Arial"/>
                <w:sz w:val="17"/>
                <w:szCs w:val="17"/>
                <w:color w:val="auto"/>
                <w:w w:val="91"/>
              </w:rPr>
              <w:t>Property and equipment received and accrued in accounts payable and</w:t>
            </w:r>
          </w:p>
        </w:tc>
        <w:tc>
          <w:tcPr>
            <w:tcW w:w="620" w:type="dxa"/>
            <w:vAlign w:val="bottom"/>
            <w:vMerge w:val="restart"/>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73"/>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accrued liabilities</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7"/>
                <w:szCs w:val="17"/>
                <w:color w:val="auto"/>
              </w:rPr>
              <w:t>Property and equipment acquired under finance leases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00" w:type="dxa"/>
            <w:vAlign w:val="bottom"/>
            <w:vMerge w:val="continue"/>
          </w:tcPr>
          <w:p>
            <w:pPr>
              <w:spacing w:after="0"/>
              <w:rPr>
                <w:sz w:val="16"/>
                <w:szCs w:val="16"/>
                <w:color w:val="auto"/>
              </w:rPr>
            </w:pP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9" w:lineRule="exact"/>
        <w:rPr>
          <w:sz w:val="20"/>
          <w:szCs w:val="20"/>
          <w:color w:val="auto"/>
        </w:rPr>
      </w:pPr>
    </w:p>
    <w:p>
      <w:pPr>
        <w:ind w:right="280" w:firstLine="433"/>
        <w:spacing w:after="0" w:line="322" w:lineRule="auto"/>
        <w:rPr>
          <w:sz w:val="20"/>
          <w:szCs w:val="20"/>
          <w:color w:val="auto"/>
        </w:rPr>
      </w:pPr>
      <w:r>
        <w:rPr>
          <w:rFonts w:ascii="Arial" w:cs="Arial" w:eastAsia="Arial" w:hAnsi="Arial"/>
          <w:sz w:val="16"/>
          <w:szCs w:val="16"/>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9"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spacing w:after="0" w:line="202"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color w:val="auto"/>
        </w:rPr>
        <w:t>The Company’s most significant estimates and judgments involve the valuation of acquired intangible assets and goodwill from business combinations, as well as the valuation of right-of-use and other lease related assets.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19" w:lineRule="exact"/>
        <w:rPr>
          <w:sz w:val="20"/>
          <w:szCs w:val="20"/>
          <w:color w:val="auto"/>
        </w:rPr>
      </w:pPr>
    </w:p>
    <w:p>
      <w:pPr>
        <w:ind w:right="360" w:firstLine="433"/>
        <w:spacing w:after="0" w:line="290" w:lineRule="auto"/>
        <w:rPr>
          <w:sz w:val="20"/>
          <w:szCs w:val="20"/>
          <w:color w:val="auto"/>
        </w:rPr>
      </w:pPr>
      <w:r>
        <w:rPr>
          <w:rFonts w:ascii="Arial" w:cs="Arial" w:eastAsia="Arial" w:hAnsi="Arial"/>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9"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(loss) income, net of tax.</w:t>
      </w:r>
    </w:p>
    <w:p>
      <w:pPr>
        <w:spacing w:after="0" w:line="19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losses of $1.8 million and gains of $2.9 million in the years ended December 31, 2021 and 2020, respectively.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jc w:val="both"/>
        <w:ind w:right="260" w:firstLine="433"/>
        <w:spacing w:after="0" w:line="273"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303" w:lineRule="exact"/>
        <w:rPr>
          <w:sz w:val="20"/>
          <w:szCs w:val="20"/>
          <w:color w:val="auto"/>
        </w:rPr>
      </w:pPr>
    </w:p>
    <w:p>
      <w:pPr>
        <w:ind w:left="940" w:hanging="306"/>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9" w:lineRule="exact"/>
        <w:rPr>
          <w:sz w:val="20"/>
          <w:szCs w:val="20"/>
          <w:color w:val="auto"/>
        </w:rPr>
      </w:pPr>
    </w:p>
    <w:p>
      <w:pPr>
        <w:ind w:left="940" w:hanging="306"/>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50" w:lineRule="exact"/>
        <w:rPr>
          <w:sz w:val="20"/>
          <w:szCs w:val="20"/>
          <w:color w:val="auto"/>
        </w:rPr>
      </w:pPr>
    </w:p>
    <w:p>
      <w:pPr>
        <w:ind w:right="80" w:firstLine="433"/>
        <w:spacing w:after="0" w:line="309"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5" w:lineRule="exact"/>
        <w:rPr>
          <w:sz w:val="20"/>
          <w:szCs w:val="20"/>
          <w:color w:val="auto"/>
        </w:rPr>
      </w:pPr>
    </w:p>
    <w:p>
      <w:pPr>
        <w:jc w:val="both"/>
        <w:ind w:right="80" w:firstLine="433"/>
        <w:spacing w:after="0" w:line="273" w:lineRule="auto"/>
        <w:rPr>
          <w:sz w:val="20"/>
          <w:szCs w:val="20"/>
          <w:color w:val="auto"/>
        </w:rPr>
      </w:pPr>
      <w:r>
        <w:rPr>
          <w:rFonts w:ascii="Arial" w:cs="Arial" w:eastAsia="Arial" w:hAnsi="Arial"/>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98" w:lineRule="exact"/>
        <w:rPr>
          <w:sz w:val="20"/>
          <w:szCs w:val="20"/>
          <w:color w:val="auto"/>
        </w:rPr>
      </w:pPr>
    </w:p>
    <w:p>
      <w:pPr>
        <w:ind w:right="440" w:firstLine="433"/>
        <w:spacing w:after="0" w:line="289"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5" w:lineRule="exact"/>
        <w:rPr>
          <w:sz w:val="20"/>
          <w:szCs w:val="20"/>
          <w:color w:val="auto"/>
        </w:rPr>
      </w:pPr>
    </w:p>
    <w:p>
      <w:pPr>
        <w:jc w:val="both"/>
        <w:ind w:right="120" w:firstLine="433"/>
        <w:spacing w:after="0" w:line="273"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72" w:lineRule="exact"/>
        <w:rPr>
          <w:sz w:val="20"/>
          <w:szCs w:val="20"/>
          <w:color w:val="auto"/>
        </w:rPr>
      </w:pPr>
    </w:p>
    <w:p>
      <w:pPr>
        <w:ind w:right="380" w:firstLine="433"/>
        <w:spacing w:after="0" w:line="289" w:lineRule="auto"/>
        <w:rPr>
          <w:sz w:val="20"/>
          <w:szCs w:val="20"/>
          <w:color w:val="auto"/>
        </w:rPr>
      </w:pPr>
      <w:r>
        <w:rPr>
          <w:rFonts w:ascii="Arial" w:cs="Arial" w:eastAsia="Arial" w:hAnsi="Arial"/>
          <w:sz w:val="17"/>
          <w:szCs w:val="17"/>
          <w:color w:val="auto"/>
        </w:rPr>
        <w:t>The Company recognized $610.5 million, $554.2 million, and $481.1 million of revenue during the years ended December 31, 2021, 2020, and 2019 respectively, that was included in the deferred revenue balances at the beginning of their respective periods.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2021, future estimated revenue related to performance obligations that were unsatisfied or partially unsatisfied was $733.8 million.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substantial majority of the unsatisfied performance obligations will be satisfied over the next twelve months.</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right="80" w:firstLine="433"/>
        <w:spacing w:after="0" w:line="305" w:lineRule="auto"/>
        <w:rPr>
          <w:sz w:val="20"/>
          <w:szCs w:val="20"/>
          <w:color w:val="auto"/>
        </w:rPr>
      </w:pPr>
      <w:r>
        <w:rPr>
          <w:rFonts w:ascii="Arial" w:cs="Arial" w:eastAsia="Arial" w:hAnsi="Arial"/>
          <w:sz w:val="15"/>
          <w:szCs w:val="15"/>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payment awards to its employees, with the exception of awards granted to its co-founders and certain executives, and has not granted any stock options to employees under the Dropbox Equity Incentives Plans. The Company recognizes compensation expense associated with RSUs ratably on a straight-line basis over the requisite service period and accounts for forfeitures in the period in which they occur.</w:t>
      </w:r>
    </w:p>
    <w:p>
      <w:pPr>
        <w:spacing w:after="0" w:line="18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185" w:lineRule="exact"/>
        <w:rPr>
          <w:sz w:val="20"/>
          <w:szCs w:val="20"/>
          <w:color w:val="auto"/>
        </w:rPr>
      </w:pPr>
    </w:p>
    <w:p>
      <w:pPr>
        <w:ind w:right="180" w:firstLine="433"/>
        <w:spacing w:after="0" w:line="298" w:lineRule="auto"/>
        <w:rPr>
          <w:sz w:val="20"/>
          <w:szCs w:val="20"/>
          <w:color w:val="auto"/>
        </w:rPr>
      </w:pPr>
      <w:r>
        <w:rPr>
          <w:rFonts w:ascii="Arial" w:cs="Arial" w:eastAsia="Arial" w:hAnsi="Arial"/>
          <w:sz w:val="16"/>
          <w:szCs w:val="16"/>
          <w:color w:val="auto"/>
        </w:rPr>
        <w:t>In connection with the acquisition of DocSend, Inc. (“DocSend”), the Company assumed unvested stock options and an immaterial number of unvested RSUs that had been granted under DocSend's 2013 Stock Plan and DocSend's 2015 Stock Option and Grant Plan. The fair value of the DocSend options assumed were based upon the Black-Scholes option-pricing model. See Note 12 "Stockholders' (Deficit)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9" w:lineRule="exact"/>
        <w:rPr>
          <w:sz w:val="20"/>
          <w:szCs w:val="20"/>
          <w:color w:val="auto"/>
        </w:rPr>
      </w:pPr>
    </w:p>
    <w:p>
      <w:pPr>
        <w:ind w:firstLine="433"/>
        <w:spacing w:after="0" w:line="299" w:lineRule="auto"/>
        <w:rPr>
          <w:sz w:val="20"/>
          <w:szCs w:val="20"/>
          <w:color w:val="auto"/>
        </w:rPr>
      </w:pPr>
      <w:r>
        <w:rPr>
          <w:rFonts w:ascii="Arial" w:cs="Arial" w:eastAsia="Arial" w:hAnsi="Arial"/>
          <w:sz w:val="15"/>
          <w:szCs w:val="15"/>
          <w:color w:val="auto"/>
        </w:rPr>
        <w:t>In December 2017, the Board of Directors approved the Company’s Co-Founder Grants, consisting of 14.7 million shares of Class A Common Stock in the aggregate, of which 10.3 million restricted stock awards ("RSAs") were granted to Drew Houston, the Company’s co-founder and Chief Executive Officer, and 4.4 million RSAs were granted to Arash Ferdowsi, the Company’s co-founder and former director. These Co-Founder Grants have service-based, market-based, and performance-based vesting conditions. The Co-Founder Grants are excluded from Class A common stock issued and outstanding until the satisfaction of these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Effective March 19, 2020, Mr. Ferdowsi resigned as a member of the Board of Directors and as an officer of the Company. As of the date of Mr. Ferdowsi's resignation, none of the Stock Price Targets had been met, resulting in the forfeiture of his 4.4 million RSAs. See Note 12, "Stockholders' (Deficit) Equity" for further information. The first tranche of Mr. Houston's Co-Founder Grant vested in the fourth quarter of 2021. The stock-based compensation expense for Mr. Houston's Co-Founder Grant is recognized utilizing the accelerated attribution method, and therefore no incremental stock-based compensation was recognized.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9" w:lineRule="exact"/>
        <w:rPr>
          <w:sz w:val="20"/>
          <w:szCs w:val="20"/>
          <w:color w:val="auto"/>
        </w:rPr>
      </w:pPr>
    </w:p>
    <w:p>
      <w:pPr>
        <w:ind w:right="20" w:firstLine="433"/>
        <w:spacing w:after="0" w:line="279"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Advertising and promotional expense</w:t>
      </w:r>
    </w:p>
    <w:p>
      <w:pPr>
        <w:spacing w:after="0" w:line="119" w:lineRule="exact"/>
        <w:rPr>
          <w:sz w:val="20"/>
          <w:szCs w:val="20"/>
          <w:color w:val="auto"/>
        </w:rPr>
      </w:pPr>
    </w:p>
    <w:p>
      <w:pPr>
        <w:jc w:val="both"/>
        <w:ind w:right="180" w:firstLine="433"/>
        <w:spacing w:after="0" w:line="273" w:lineRule="auto"/>
        <w:rPr>
          <w:sz w:val="20"/>
          <w:szCs w:val="20"/>
          <w:color w:val="auto"/>
        </w:rPr>
      </w:pPr>
      <w:r>
        <w:rPr>
          <w:rFonts w:ascii="Arial" w:cs="Arial" w:eastAsia="Arial" w:hAnsi="Arial"/>
          <w:sz w:val="17"/>
          <w:szCs w:val="17"/>
          <w:color w:val="auto"/>
        </w:rPr>
        <w:t>Advertising and promotional expenses are primarily included in sales and marketing expenses within the consolidated statements of operations and are expensed when incurred. Advertising and promotional expenses were $108.6 million, $81.4 million, and $88.8 million in the years ended December 31, 2021, 2020, and 2019, respectively.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9"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67"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9"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w:t>
      </w:r>
    </w:p>
    <w:p>
      <w:pPr>
        <w:spacing w:after="0" w:line="193" w:lineRule="exact"/>
        <w:rPr>
          <w:sz w:val="20"/>
          <w:szCs w:val="20"/>
          <w:color w:val="auto"/>
        </w:rPr>
      </w:pPr>
    </w:p>
    <w:p>
      <w:pPr>
        <w:ind w:right="220" w:firstLine="393"/>
        <w:spacing w:after="0" w:line="268" w:lineRule="auto"/>
        <w:rPr>
          <w:sz w:val="20"/>
          <w:szCs w:val="20"/>
          <w:color w:val="auto"/>
        </w:rPr>
      </w:pPr>
      <w:r>
        <w:rPr>
          <w:rFonts w:ascii="Arial" w:cs="Arial" w:eastAsia="Arial" w:hAnsi="Arial"/>
          <w:sz w:val="17"/>
          <w:szCs w:val="17"/>
          <w:color w:val="auto"/>
        </w:rPr>
        <w:t>The Company's short-term investments are recorded at fair value each reporting period. Unrealized gains and losses on these short-term investments are reported as a separate component of accumulated other comprehensive (loss) income in the consolidated balance sheets until realized. Unrealized gains and losses for any short-term investments that management intends to sell or it is more likely than not that management will be required to sell prior to their anticipated recovery are recorded 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year ended December 31, 2021.</w:t>
      </w:r>
    </w:p>
    <w:p>
      <w:pPr>
        <w:spacing w:after="0" w:line="30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9"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8" w:lineRule="exact"/>
        <w:rPr>
          <w:sz w:val="20"/>
          <w:szCs w:val="20"/>
          <w:color w:val="auto"/>
        </w:rPr>
      </w:pPr>
    </w:p>
    <w:p>
      <w:pPr>
        <w:ind w:firstLine="433"/>
        <w:spacing w:after="0" w:line="326" w:lineRule="auto"/>
        <w:rPr>
          <w:sz w:val="20"/>
          <w:szCs w:val="20"/>
          <w:color w:val="auto"/>
        </w:rPr>
      </w:pPr>
      <w:r>
        <w:rPr>
          <w:rFonts w:ascii="Arial" w:cs="Arial" w:eastAsia="Arial" w:hAnsi="Arial"/>
          <w:sz w:val="15"/>
          <w:szCs w:val="15"/>
          <w:color w:val="auto"/>
        </w:rPr>
        <w:t>Trade accounts receivable are typically unsecured and are derived from revenue earned from customers located around the world. Two distribution partners accounted for 14% and 29% of total trade and other receivables, net as of December 31, 2021. Two distribution partners accounted for 11% and 28% of total trade and other receivables, net as of December 31, 2020. No customer accounted for more than 10% of the Company’s revenue in the periods presented.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Trade and other receivables, net</w:t>
      </w:r>
    </w:p>
    <w:p>
      <w:pPr>
        <w:spacing w:after="0" w:line="119" w:lineRule="exact"/>
        <w:rPr>
          <w:sz w:val="20"/>
          <w:szCs w:val="20"/>
          <w:color w:val="auto"/>
        </w:rPr>
      </w:pPr>
    </w:p>
    <w:p>
      <w:pPr>
        <w:ind w:right="280" w:firstLine="433"/>
        <w:spacing w:after="0" w:line="289" w:lineRule="auto"/>
        <w:rPr>
          <w:sz w:val="20"/>
          <w:szCs w:val="20"/>
          <w:color w:val="auto"/>
        </w:rPr>
      </w:pPr>
      <w:r>
        <w:rPr>
          <w:rFonts w:ascii="Arial" w:cs="Arial" w:eastAsia="Arial" w:hAnsi="Arial"/>
          <w:sz w:val="17"/>
          <w:szCs w:val="17"/>
          <w:color w:val="auto"/>
        </w:rPr>
        <w:t>Trade and other receivables, net consists primarily of trade receivables that are recorded at the invoice amount, net of an allowance for expected credit losses.</w:t>
      </w:r>
    </w:p>
    <w:p>
      <w:pPr>
        <w:spacing w:after="0" w:line="185"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allowance for expected credit losses is based on the Company’s assessment of the collectability of accounts receivable. The Company assesses collectability by reviewing accounts receivable on a collective basis where similar characteristics exist and on an individual basis when the Company identifies specific customers with known disputes or collectability issues. The Company regularly reviews the adequacy of the allowance for expected credit losses by considering the age of each outstanding invoice, the collection history of each customer, and other relevant factors, including contractual term and current and future economic conditions. The Company's allowance for expected credit losses was $1.0 million and $0.5 million as of December 31, 2021 and 2020, respectively.</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Non-trade receivables</w:t>
      </w:r>
    </w:p>
    <w:p>
      <w:pPr>
        <w:spacing w:after="0" w:line="119" w:lineRule="exact"/>
        <w:rPr>
          <w:sz w:val="20"/>
          <w:szCs w:val="20"/>
          <w:color w:val="auto"/>
        </w:rPr>
      </w:pPr>
    </w:p>
    <w:p>
      <w:pPr>
        <w:ind w:right="460" w:firstLine="433"/>
        <w:spacing w:after="0" w:line="298" w:lineRule="auto"/>
        <w:rPr>
          <w:sz w:val="20"/>
          <w:szCs w:val="20"/>
          <w:color w:val="auto"/>
        </w:rPr>
      </w:pPr>
      <w:r>
        <w:rPr>
          <w:rFonts w:ascii="Arial" w:cs="Arial" w:eastAsia="Arial" w:hAnsi="Arial"/>
          <w:sz w:val="16"/>
          <w:szCs w:val="16"/>
          <w:color w:val="auto"/>
        </w:rPr>
        <w:t>The Company records non-trade receivables to reflect amounts due for activities outside of its subscription agreements, such as non-current notes receivable. Non-trade receivables totaled $4.1 million and $2.7 million, as of December 31, 2021 and 2020, respectively, and are classified within prepaid expenses and other current assets in the accompanying consolidated balance sheets. See "—Lease obligations” for further discussion.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9" w:lineRule="exact"/>
        <w:rPr>
          <w:sz w:val="20"/>
          <w:szCs w:val="20"/>
          <w:color w:val="auto"/>
        </w:rPr>
      </w:pPr>
    </w:p>
    <w:p>
      <w:pPr>
        <w:ind w:right="140" w:firstLine="433"/>
        <w:spacing w:after="0" w:line="265" w:lineRule="auto"/>
        <w:rPr>
          <w:sz w:val="20"/>
          <w:szCs w:val="20"/>
          <w:color w:val="auto"/>
        </w:rPr>
      </w:pPr>
      <w:r>
        <w:rPr>
          <w:rFonts w:ascii="Arial" w:cs="Arial" w:eastAsia="Arial" w:hAnsi="Arial"/>
          <w:sz w:val="17"/>
          <w:szCs w:val="17"/>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consolidated balance sheets. The Company deferred incremental costs of obtaining a contract of $23.7 million and $35.0 million during the years ended December 31, 2021 and 2020, respectively.</w:t>
      </w:r>
    </w:p>
    <w:p>
      <w:pPr>
        <w:spacing w:after="0" w:line="206" w:lineRule="exact"/>
        <w:rPr>
          <w:sz w:val="20"/>
          <w:szCs w:val="20"/>
          <w:color w:val="auto"/>
        </w:rPr>
      </w:pPr>
    </w:p>
    <w:p>
      <w:pPr>
        <w:jc w:val="both"/>
        <w:ind w:right="640" w:firstLine="433"/>
        <w:spacing w:after="0" w:line="360" w:lineRule="auto"/>
        <w:rPr>
          <w:sz w:val="20"/>
          <w:szCs w:val="20"/>
          <w:color w:val="auto"/>
        </w:rPr>
      </w:pPr>
      <w:r>
        <w:rPr>
          <w:rFonts w:ascii="Arial" w:cs="Arial" w:eastAsia="Arial" w:hAnsi="Arial"/>
          <w:sz w:val="15"/>
          <w:szCs w:val="15"/>
          <w:color w:val="auto"/>
        </w:rPr>
        <w:t>Deferred commissions, net included in prepaid and other current assets were $30.8 million and $26.7 million as of December 31, 2021 and 2020, respectively. Deferred commissions, net included in other assets were $34.6 million and $47.3 million as of December 31, 2021 and 2020, respectively.</w:t>
      </w:r>
    </w:p>
    <w:p>
      <w:pPr>
        <w:spacing w:after="0" w:line="138" w:lineRule="exact"/>
        <w:rPr>
          <w:sz w:val="20"/>
          <w:szCs w:val="20"/>
          <w:color w:val="auto"/>
        </w:rPr>
      </w:pPr>
    </w:p>
    <w:p>
      <w:pPr>
        <w:ind w:right="100" w:firstLine="433"/>
        <w:spacing w:after="0" w:line="286" w:lineRule="auto"/>
        <w:rPr>
          <w:sz w:val="20"/>
          <w:szCs w:val="20"/>
          <w:color w:val="auto"/>
        </w:rPr>
      </w:pPr>
      <w:r>
        <w:rPr>
          <w:rFonts w:ascii="Arial" w:cs="Arial" w:eastAsia="Arial" w:hAnsi="Arial"/>
          <w:sz w:val="16"/>
          <w:szCs w:val="16"/>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related to renewal contracts are typically amortized over one year. Amortized costs were $32.3 million, $24.4 million, and $17.5 million for the years ended December 31, 2021, 2020, and 2019, respectively. Amortized costs are included in sales and marketing expense in the accompanying consolidated statements of operations. There was no material impairment loss in relation to the deferred costs for any period presented.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9" w:lineRule="exact"/>
        <w:rPr>
          <w:sz w:val="20"/>
          <w:szCs w:val="20"/>
          <w:color w:val="auto"/>
        </w:rPr>
      </w:pPr>
    </w:p>
    <w:p>
      <w:pPr>
        <w:jc w:val="both"/>
        <w:ind w:right="220" w:firstLine="433"/>
        <w:spacing w:after="0" w:line="273"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estimated useful lives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40" w:type="dxa"/>
            <w:vAlign w:val="bottom"/>
            <w:tcBorders>
              <w:bottom w:val="single" w:sz="8" w:color="CCEEFF"/>
            </w:tcBorders>
          </w:tcPr>
          <w:p>
            <w:pPr>
              <w:spacing w:after="0"/>
              <w:rPr>
                <w:sz w:val="19"/>
                <w:szCs w:val="19"/>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Useful life</w:t>
            </w: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20 to 30 years</w:t>
            </w: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Data center and other computer equipment</w:t>
            </w:r>
          </w:p>
        </w:tc>
        <w:tc>
          <w:tcPr>
            <w:tcW w:w="5540" w:type="dxa"/>
            <w:vAlign w:val="bottom"/>
          </w:tcPr>
          <w:p>
            <w:pPr>
              <w:jc w:val="center"/>
              <w:spacing w:after="0"/>
              <w:rPr>
                <w:sz w:val="20"/>
                <w:szCs w:val="20"/>
                <w:color w:val="auto"/>
              </w:rPr>
            </w:pPr>
            <w:r>
              <w:rPr>
                <w:rFonts w:ascii="Arial" w:cs="Arial" w:eastAsia="Arial" w:hAnsi="Arial"/>
                <w:sz w:val="17"/>
                <w:szCs w:val="17"/>
                <w:color w:val="auto"/>
                <w:w w:val="92"/>
              </w:rPr>
              <w:t>3 to 5 years</w:t>
            </w: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5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 to 7 years</w:t>
            </w:r>
          </w:p>
        </w:tc>
      </w:tr>
      <w:tr>
        <w:trPr>
          <w:trHeight w:val="222"/>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540" w:type="dxa"/>
            <w:vAlign w:val="bottom"/>
          </w:tcPr>
          <w:p>
            <w:pPr>
              <w:jc w:val="center"/>
              <w:spacing w:after="0"/>
              <w:rPr>
                <w:sz w:val="20"/>
                <w:szCs w:val="20"/>
                <w:color w:val="auto"/>
              </w:rPr>
            </w:pPr>
            <w:r>
              <w:rPr>
                <w:rFonts w:ascii="Arial" w:cs="Arial" w:eastAsia="Arial" w:hAnsi="Arial"/>
                <w:sz w:val="17"/>
                <w:szCs w:val="17"/>
                <w:color w:val="auto"/>
                <w:w w:val="93"/>
              </w:rPr>
              <w:t>Lesser of estimated useful life or remaining lease term</w:t>
            </w:r>
          </w:p>
        </w:tc>
      </w:tr>
    </w:tbl>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 investments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both December 31, 2021 and 2020, the Company held an equity investment in a privately held entity in which the Company did not have 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controlling interest or significant influence. The equity investment is recorded in other assets. During the year ended December 31, 2020, the Company</w:t>
      </w:r>
    </w:p>
    <w:p>
      <w:pPr>
        <w:spacing w:after="0"/>
        <w:rPr>
          <w:sz w:val="20"/>
          <w:szCs w:val="20"/>
          <w:color w:val="auto"/>
        </w:rPr>
      </w:pPr>
      <w:r>
        <w:rPr>
          <w:rFonts w:ascii="Arial" w:cs="Arial" w:eastAsia="Arial" w:hAnsi="Arial"/>
          <w:sz w:val="16"/>
          <w:szCs w:val="16"/>
          <w:color w:val="auto"/>
        </w:rPr>
        <w:t>recognized a net gain of $16.8 million in other income, net related to the sale of a publicly traded equity investment. The investment had a carrying value of</w:t>
      </w:r>
    </w:p>
    <w:p>
      <w:pPr>
        <w:spacing w:after="0"/>
        <w:rPr>
          <w:sz w:val="20"/>
          <w:szCs w:val="20"/>
          <w:color w:val="auto"/>
        </w:rPr>
      </w:pPr>
      <w:r>
        <w:rPr>
          <w:rFonts w:ascii="Arial" w:cs="Arial" w:eastAsia="Arial" w:hAnsi="Arial"/>
          <w:sz w:val="15"/>
          <w:szCs w:val="15"/>
          <w:color w:val="auto"/>
        </w:rPr>
        <w:t>$9.8 million as of December 31, 2019, and was previously measured using quoted prices in its active market with changes recorded in other income, net, in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 of operations.</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 centers, and equipment under non-cancelable finance and operating leases with various expiration dates through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2036. The Company determines if an arrangement contains a lease at inception.</w:t>
      </w:r>
    </w:p>
    <w:p>
      <w:pPr>
        <w:spacing w:after="0" w:line="238" w:lineRule="exact"/>
        <w:rPr>
          <w:sz w:val="20"/>
          <w:szCs w:val="20"/>
          <w:color w:val="auto"/>
        </w:rPr>
      </w:pPr>
    </w:p>
    <w:p>
      <w:pPr>
        <w:ind w:right="240" w:firstLine="433"/>
        <w:spacing w:after="0" w:line="314" w:lineRule="auto"/>
        <w:rPr>
          <w:sz w:val="20"/>
          <w:szCs w:val="20"/>
          <w:color w:val="auto"/>
        </w:rPr>
      </w:pPr>
      <w:r>
        <w:rPr>
          <w:rFonts w:ascii="Arial" w:cs="Arial" w:eastAsia="Arial" w:hAnsi="Arial"/>
          <w:sz w:val="15"/>
          <w:szCs w:val="15"/>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73"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6"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290"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As part of the Company's Virtual First strategy, Dropbox will retain a portion of its office space to be used for the Company’s team collaboration use and a portion will be subleased. During the year ended December 31, 2021, the Company recorded impairment charges of $31.3 million related to its operating leases and related assets and real estate assets acquired as part of the acquisition of DocSend in the first quarter of 2021. During the fourth quarter of 2020, the Company recorded an impairment charge of $398.2 million related to its operating leases and related assets. These impairment charges were recorded as a result of the Company's decision to move towards a Virtual First work model. See Note 9 "Leases" for further information.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9" w:lineRule="exact"/>
        <w:rPr>
          <w:sz w:val="20"/>
          <w:szCs w:val="20"/>
          <w:color w:val="auto"/>
        </w:rPr>
      </w:pPr>
    </w:p>
    <w:p>
      <w:pPr>
        <w:jc w:val="both"/>
        <w:ind w:right="260" w:firstLine="433"/>
        <w:spacing w:after="0" w:line="273" w:lineRule="auto"/>
        <w:rPr>
          <w:sz w:val="20"/>
          <w:szCs w:val="20"/>
          <w:color w:val="auto"/>
        </w:rPr>
      </w:pPr>
      <w:r>
        <w:rPr>
          <w:rFonts w:ascii="Arial" w:cs="Arial" w:eastAsia="Arial" w:hAnsi="Arial"/>
          <w:sz w:val="17"/>
          <w:szCs w:val="17"/>
          <w:color w:val="auto"/>
        </w:rPr>
        <w:t>In the fourth quarter of 2021, the Company paid $32 million to partially terminate its headquarters head lease. In conjunction with the termination, the Company reduced its assets by $63.6 million and its liabilities by $109.1 million. As a result, the Company is relieved from future obligations related to this space and recognized a $13.6 million gain.</w:t>
      </w:r>
    </w:p>
    <w:p>
      <w:pPr>
        <w:spacing w:after="0" w:line="198"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pacing w:after="0" w:line="206"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Internal use software</w:t>
      </w:r>
    </w:p>
    <w:p>
      <w:pPr>
        <w:spacing w:after="0" w:line="119"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The Company capitalizes certain costs related to developed or modified software solely for its internal use and cloud 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2021, 2020, and 2019.</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9"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9" w:lineRule="exact"/>
        <w:rPr>
          <w:sz w:val="20"/>
          <w:szCs w:val="20"/>
          <w:color w:val="auto"/>
        </w:rPr>
      </w:pPr>
    </w:p>
    <w:p>
      <w:pPr>
        <w:jc w:val="both"/>
        <w:ind w:right="140" w:firstLine="433"/>
        <w:spacing w:after="0" w:line="286"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89" w:lineRule="exact"/>
        <w:rPr>
          <w:sz w:val="20"/>
          <w:szCs w:val="20"/>
          <w:color w:val="auto"/>
        </w:rPr>
      </w:pPr>
    </w:p>
    <w:p>
      <w:pPr>
        <w:jc w:val="both"/>
        <w:ind w:right="100" w:firstLine="172"/>
        <w:spacing w:after="0" w:line="273"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 At December 31, 2021, the single reporting unit had a zero or negative carrying value of net assets. Goodwill allocated to the single reporting unit is $356.6 million at December 31, 2021.</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has not recorded impairment charges on goodwill or intangible assets for the periods presented in these consolidated financial statements.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recorded impairment charges of $31.3 million related to right-of-use assets and other lease related property and equipment assets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$215.8 million related to right-of-use assets and $182.4 million related to other lease related property and equipment assets during the years ended December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31, 2021 and December 31, 2020, respectively, in conjunction with its decision to move towards a Virtual First work model. See Note 9 "Leases" for further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300" w:firstLine="165"/>
        <w:spacing w:after="0" w:line="268"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40" w:firstLine="433"/>
        <w:spacing w:after="0" w:line="273"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8"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76" w:lineRule="exact"/>
        <w:rPr>
          <w:sz w:val="20"/>
          <w:szCs w:val="20"/>
          <w:color w:val="auto"/>
        </w:rPr>
      </w:pPr>
    </w:p>
    <w:p>
      <w:pPr>
        <w:ind w:right="260" w:firstLine="433"/>
        <w:spacing w:after="0" w:line="268"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76" w:lineRule="exact"/>
        <w:rPr>
          <w:sz w:val="20"/>
          <w:szCs w:val="20"/>
          <w:color w:val="auto"/>
        </w:rPr>
      </w:pPr>
    </w:p>
    <w:p>
      <w:pPr>
        <w:ind w:right="20" w:firstLine="433"/>
        <w:spacing w:after="0" w:line="32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9"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7"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250" w:lineRule="exact"/>
        <w:rPr>
          <w:sz w:val="20"/>
          <w:szCs w:val="20"/>
          <w:color w:val="auto"/>
        </w:rPr>
      </w:pPr>
    </w:p>
    <w:p>
      <w:pPr>
        <w:ind w:right="360" w:firstLine="433"/>
        <w:spacing w:after="0" w:line="268"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 -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 Stock Compensation (Topic 718), and Derivatives and Hedging - Contracts in Entity's Own Equity (Subtopic 815-40) </w:t>
      </w:r>
      <w:r>
        <w:rPr>
          <w:rFonts w:ascii="Arial" w:cs="Arial" w:eastAsia="Arial" w:hAnsi="Arial"/>
          <w:sz w:val="17"/>
          <w:szCs w:val="17"/>
          <w:color w:val="auto"/>
        </w:rPr>
        <w:t>to clarify and reduce</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an issuer’s accounting for modifications or exchanges of freestanding equity-classified written call options (for example, warrants) that remain equity classified after</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modification or exchange. The guidance is effective for fiscal years beginning after December 15, 2021, and interim periods within those fiscal years. The Company does not expect the adoption of ASU 2021-04 to have a significant impact on its consolidated financial statements.</w:t>
      </w:r>
    </w:p>
    <w:p>
      <w:pPr>
        <w:spacing w:after="0" w:line="185" w:lineRule="exact"/>
        <w:rPr>
          <w:sz w:val="20"/>
          <w:szCs w:val="20"/>
          <w:color w:val="auto"/>
        </w:rPr>
      </w:pPr>
    </w:p>
    <w:p>
      <w:pPr>
        <w:ind w:firstLine="433"/>
        <w:spacing w:after="0" w:line="283" w:lineRule="auto"/>
        <w:rPr>
          <w:sz w:val="20"/>
          <w:szCs w:val="20"/>
          <w:color w:val="auto"/>
        </w:rPr>
      </w:pPr>
      <w:r>
        <w:rPr>
          <w:rFonts w:ascii="Arial" w:cs="Arial" w:eastAsia="Arial" w:hAnsi="Arial"/>
          <w:sz w:val="16"/>
          <w:szCs w:val="16"/>
          <w:color w:val="auto"/>
        </w:rPr>
        <w:t xml:space="preserve">In July 2021, the FASB issued ASU 2021-05, </w:t>
      </w:r>
      <w:r>
        <w:rPr>
          <w:rFonts w:ascii="Arial" w:cs="Arial" w:eastAsia="Arial" w:hAnsi="Arial"/>
          <w:sz w:val="16"/>
          <w:szCs w:val="16"/>
          <w:i w:val="1"/>
          <w:iCs w:val="1"/>
          <w:color w:val="auto"/>
        </w:rPr>
        <w:t>Leases (Topic 842)</w:t>
      </w:r>
      <w:r>
        <w:rPr>
          <w:rFonts w:ascii="Arial" w:cs="Arial" w:eastAsia="Arial" w:hAnsi="Arial"/>
          <w:sz w:val="16"/>
          <w:szCs w:val="16"/>
          <w:color w:val="auto"/>
        </w:rPr>
        <w:t>, which amends ASC 842 so that lessors are no longer required to recognize a selling loss upon commencement of a lease with variable lease payments that, prior to the amendments, would have been classified as a sales-type or direct financing lease. Furthermore, a lessor must classify as an operating lease any lease that would otherwise be classified as a sales-type or direct financing lease and that would result in the recognition of a selling loss at lease commencement, provided that the lease includes variable lease payments that do not depend on an index or rate. The guidance is effective for fiscal years beginning after December 15, 2021, and interim periods within those fiscal years. The Company does not expect the adoption of ASU 2021-05 to have a significant impact on its consolidated financial statements.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355" w:lineRule="exact"/>
        <w:rPr>
          <w:sz w:val="20"/>
          <w:szCs w:val="20"/>
          <w:color w:val="auto"/>
        </w:rPr>
      </w:pPr>
    </w:p>
    <w:p>
      <w:pPr>
        <w:ind w:right="40" w:firstLine="433"/>
        <w:spacing w:after="0" w:line="27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w:t>
      </w:r>
      <w:r>
        <w:rPr>
          <w:rFonts w:ascii="Arial" w:cs="Arial" w:eastAsia="Arial" w:hAnsi="Arial"/>
          <w:sz w:val="16"/>
          <w:szCs w:val="16"/>
          <w:color w:val="auto"/>
        </w:rPr>
        <w:t>This ASU simplifies the accounting for convertible instruments and contracts in an entity’s own equity,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its overall simplification initiative to reduce costs and complexity of applying accounting standards while maintaining or improving the usefulness of the information provided to users of financial statements. Among other changes, the new guidance eliminates the requirement to separate the convertible debt into debt and equity components, unless the conversion feature is required to be bifurcated and accounted for as a derivative or the debt is issued at a substantial premium. As a result, after adopting the guidance, entities will no longer separately present such embedded conversion features in equity, and will instead account for the convertible debt wholly as debt. The ASU also removes certain settlement conditions that are required for equity contracts to qualify for the derivative scope exception, which will permit more equity contracts to qualify for it. Lastly, entities are required to use the if-converted method for convertible instruments in the diluted earnings per share calculation. The guidance is effective for financial statements issued for fiscal years beginning after December 15, 2021, and interim periods within those fiscal years, with early adoption permitted, but only at the beginning of the fiscal year. This update permits the use of either the modified retrospective or fully retrospective method of transition.</w:t>
      </w:r>
    </w:p>
    <w:p>
      <w:pPr>
        <w:spacing w:after="0" w:line="200" w:lineRule="exact"/>
        <w:rPr>
          <w:sz w:val="20"/>
          <w:szCs w:val="20"/>
          <w:color w:val="auto"/>
        </w:rPr>
      </w:pPr>
    </w:p>
    <w:p>
      <w:pPr>
        <w:ind w:right="80" w:firstLine="433"/>
        <w:spacing w:after="0" w:line="286" w:lineRule="auto"/>
        <w:rPr>
          <w:sz w:val="20"/>
          <w:szCs w:val="20"/>
          <w:color w:val="auto"/>
        </w:rPr>
      </w:pPr>
      <w:r>
        <w:rPr>
          <w:rFonts w:ascii="Arial" w:cs="Arial" w:eastAsia="Arial" w:hAnsi="Arial"/>
          <w:sz w:val="16"/>
          <w:szCs w:val="16"/>
          <w:color w:val="auto"/>
        </w:rPr>
        <w:t>The Company early adopted this guidance as of January 1, 2021 using the modified retrospective approach. The adoption of the guidance did not have an impact on the Company’s financial statement as of the adoption date. As further discussed in Note 8 "Debt", the Company issued certain convertible senior notes and entered into certain contracts in the Company’s own equity during the year ended December 31, 2021, and the accounting for these instruments was based on the guidance in ASU 2020-06. Additionally, the impact on diluted earnings per share of the convertible senior notes was calculated based on the if-converted method, as further described in Note 13 "Net Income (Loss) Per Share" for further information.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125" w:lineRule="exact"/>
        <w:rPr>
          <w:sz w:val="20"/>
          <w:szCs w:val="20"/>
          <w:color w:val="auto"/>
        </w:rPr>
      </w:pPr>
    </w:p>
    <w:p>
      <w:pPr>
        <w:ind w:right="40" w:firstLine="175"/>
        <w:spacing w:after="0" w:line="289"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December 31, 2021 consisted of the following:</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9"/>
                <w:szCs w:val="19"/>
                <w:color w:val="auto"/>
              </w:rPr>
            </w:pPr>
          </w:p>
        </w:tc>
        <w:tc>
          <w:tcPr>
            <w:tcW w:w="172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gain</w:t>
            </w:r>
          </w:p>
        </w:tc>
        <w:tc>
          <w:tcPr>
            <w:tcW w:w="24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60" w:type="dxa"/>
            <w:vAlign w:val="bottom"/>
          </w:tcPr>
          <w:p>
            <w:pPr>
              <w:spacing w:after="0"/>
              <w:rPr>
                <w:sz w:val="19"/>
                <w:szCs w:val="19"/>
                <w:color w:val="auto"/>
              </w:rPr>
            </w:pPr>
          </w:p>
        </w:tc>
        <w:tc>
          <w:tcPr>
            <w:tcW w:w="1740" w:type="dxa"/>
            <w:vAlign w:val="bottom"/>
          </w:tcPr>
          <w:p>
            <w:pPr>
              <w:jc w:val="right"/>
              <w:ind w:right="93"/>
              <w:spacing w:after="0"/>
              <w:rPr>
                <w:sz w:val="20"/>
                <w:szCs w:val="20"/>
                <w:color w:val="auto"/>
              </w:rPr>
            </w:pPr>
            <w:r>
              <w:rPr>
                <w:rFonts w:ascii="Arial" w:cs="Arial" w:eastAsia="Arial" w:hAnsi="Arial"/>
                <w:sz w:val="17"/>
                <w:szCs w:val="17"/>
                <w:b w:val="1"/>
                <w:bCs w:val="1"/>
                <w:color w:val="auto"/>
                <w:w w:val="95"/>
              </w:rPr>
              <w:t>Estimated fair value</w:t>
            </w:r>
          </w:p>
        </w:tc>
      </w:tr>
      <w:tr>
        <w:trPr>
          <w:trHeight w:val="33"/>
        </w:trPr>
        <w:tc>
          <w:tcPr>
            <w:tcW w:w="34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r>
      <w:tr>
        <w:trPr>
          <w:trHeight w:val="223"/>
        </w:trPr>
        <w:tc>
          <w:tcPr>
            <w:tcW w:w="3460" w:type="dxa"/>
            <w:vAlign w:val="bottom"/>
          </w:tcPr>
          <w:p>
            <w:pPr>
              <w:spacing w:after="0"/>
              <w:rPr>
                <w:sz w:val="20"/>
                <w:szCs w:val="20"/>
                <w:color w:val="auto"/>
              </w:rPr>
            </w:pPr>
            <w:r>
              <w:rPr>
                <w:rFonts w:ascii="Arial" w:cs="Arial" w:eastAsia="Arial" w:hAnsi="Arial"/>
                <w:sz w:val="17"/>
                <w:szCs w:val="17"/>
                <w:color w:val="auto"/>
              </w:rPr>
              <w:t>Cash equivalents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r>
      <w:tr>
        <w:trPr>
          <w:trHeight w:val="216"/>
        </w:trPr>
        <w:tc>
          <w:tcPr>
            <w:tcW w:w="3460" w:type="dxa"/>
            <w:vAlign w:val="bottom"/>
          </w:tcPr>
          <w:p>
            <w:pPr>
              <w:ind w:left="120"/>
              <w:spacing w:after="0"/>
              <w:rPr>
                <w:sz w:val="20"/>
                <w:szCs w:val="20"/>
                <w:color w:val="auto"/>
              </w:rPr>
            </w:pPr>
            <w:r>
              <w:rPr>
                <w:rFonts w:ascii="Arial" w:cs="Arial" w:eastAsia="Arial" w:hAnsi="Arial"/>
                <w:sz w:val="17"/>
                <w:szCs w:val="17"/>
                <w:color w:val="auto"/>
              </w:rPr>
              <w:t>Total cash &amp; cash equivalents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533.0</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Short-term investments</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Corporate notes and obligations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603.8</w:t>
            </w: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Treasury securities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w:t>
            </w: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Asset backed securities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139.6</w:t>
            </w: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Municipal securities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Commercial paper</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61.7</w:t>
            </w: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Certificates of deposit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Foreign government obligations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agency obligations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23"/>
        </w:trPr>
        <w:tc>
          <w:tcPr>
            <w:tcW w:w="3460" w:type="dxa"/>
            <w:vAlign w:val="bottom"/>
          </w:tcPr>
          <w:p>
            <w:pPr>
              <w:ind w:left="120"/>
              <w:spacing w:after="0"/>
              <w:rPr>
                <w:sz w:val="20"/>
                <w:szCs w:val="20"/>
                <w:color w:val="auto"/>
              </w:rPr>
            </w:pPr>
            <w:r>
              <w:rPr>
                <w:rFonts w:ascii="Arial" w:cs="Arial" w:eastAsia="Arial" w:hAnsi="Arial"/>
                <w:sz w:val="17"/>
                <w:szCs w:val="17"/>
                <w:color w:val="auto"/>
              </w:rPr>
              <w:t>Supranational securities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6"/>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short-term investments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1,185.1</w:t>
            </w:r>
          </w:p>
        </w:tc>
      </w:tr>
      <w:tr>
        <w:trPr>
          <w:trHeight w:val="216"/>
        </w:trPr>
        <w:tc>
          <w:tcPr>
            <w:tcW w:w="3460" w:type="dxa"/>
            <w:vAlign w:val="bottom"/>
          </w:tcPr>
          <w:p>
            <w:pPr>
              <w:ind w:left="1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1,718.1</w:t>
            </w:r>
          </w:p>
        </w:tc>
      </w:tr>
      <w:tr>
        <w:trPr>
          <w:trHeight w:val="20"/>
        </w:trPr>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2" w:name="page83"/>
    <w:bookmarkEnd w:id="8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900" w:firstLine="393"/>
        <w:spacing w:after="0" w:line="289"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December 31, 2020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gain</w:t>
            </w:r>
          </w:p>
        </w:tc>
        <w:tc>
          <w:tcPr>
            <w:tcW w:w="26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60" w:type="dxa"/>
            <w:vAlign w:val="bottom"/>
          </w:tcPr>
          <w:p>
            <w:pPr>
              <w:spacing w:after="0"/>
              <w:rPr>
                <w:sz w:val="19"/>
                <w:szCs w:val="19"/>
                <w:color w:val="auto"/>
              </w:rPr>
            </w:pPr>
          </w:p>
        </w:tc>
        <w:tc>
          <w:tcPr>
            <w:tcW w:w="1740" w:type="dxa"/>
            <w:vAlign w:val="bottom"/>
          </w:tcPr>
          <w:p>
            <w:pPr>
              <w:jc w:val="right"/>
              <w:ind w:right="93"/>
              <w:spacing w:after="0"/>
              <w:rPr>
                <w:sz w:val="20"/>
                <w:szCs w:val="20"/>
                <w:color w:val="auto"/>
              </w:rPr>
            </w:pPr>
            <w:r>
              <w:rPr>
                <w:rFonts w:ascii="Arial" w:cs="Arial" w:eastAsia="Arial" w:hAnsi="Arial"/>
                <w:sz w:val="17"/>
                <w:szCs w:val="17"/>
                <w:b w:val="1"/>
                <w:bCs w:val="1"/>
                <w:color w:val="auto"/>
                <w:w w:val="95"/>
              </w:rPr>
              <w:t>Estimated fair value</w:t>
            </w:r>
          </w:p>
        </w:tc>
      </w:tr>
      <w:tr>
        <w:trPr>
          <w:trHeight w:val="33"/>
        </w:trPr>
        <w:tc>
          <w:tcPr>
            <w:tcW w:w="34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r>
      <w:tr>
        <w:trPr>
          <w:trHeight w:val="223"/>
        </w:trPr>
        <w:tc>
          <w:tcPr>
            <w:tcW w:w="34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3460" w:type="dxa"/>
            <w:vAlign w:val="bottom"/>
          </w:tcPr>
          <w:p>
            <w:pPr>
              <w:ind w:left="14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314.9</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314.9</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376.7</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74.1</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7"/>
                <w:szCs w:val="17"/>
                <w:color w:val="auto"/>
                <w:w w:val="97"/>
              </w:rPr>
              <w:t>(0.1)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806.4</w:t>
            </w:r>
          </w:p>
        </w:tc>
      </w:tr>
      <w:tr>
        <w:trPr>
          <w:trHeight w:val="216"/>
        </w:trPr>
        <w:tc>
          <w:tcPr>
            <w:tcW w:w="3460" w:type="dxa"/>
            <w:vAlign w:val="bottom"/>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w w:val="97"/>
              </w:rPr>
              <w:t>(0.1)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1,121.3</w:t>
            </w: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$8.3 million and $9.8 million as of December 31, 2021 and December 31, 2020, respectively.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All short-term investments were designated as available-for-sale securities as of December 31, 2021.</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December 31, 2021:</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7"/>
                <w:szCs w:val="17"/>
                <w:b w:val="1"/>
                <w:bCs w:val="1"/>
                <w:color w:val="auto"/>
              </w:rPr>
              <w:t>Amortized cost</w:t>
            </w:r>
          </w:p>
        </w:tc>
        <w:tc>
          <w:tcPr>
            <w:tcW w:w="5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w w:val="97"/>
              </w:rPr>
              <w:t>Estimated fair valu</w:t>
            </w:r>
          </w:p>
        </w:tc>
      </w:tr>
      <w:tr>
        <w:trPr>
          <w:trHeight w:val="33"/>
        </w:trPr>
        <w:tc>
          <w:tcPr>
            <w:tcW w:w="63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Due within one year</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3"/>
        </w:trPr>
        <w:tc>
          <w:tcPr>
            <w:tcW w:w="6360" w:type="dxa"/>
            <w:vAlign w:val="bottom"/>
          </w:tcPr>
          <w:p>
            <w:pPr>
              <w:ind w:left="400"/>
              <w:spacing w:after="0"/>
              <w:rPr>
                <w:sz w:val="20"/>
                <w:szCs w:val="20"/>
                <w:color w:val="auto"/>
              </w:rPr>
            </w:pPr>
            <w:r>
              <w:rPr>
                <w:rFonts w:ascii="Arial" w:cs="Arial" w:eastAsia="Arial" w:hAnsi="Arial"/>
                <w:sz w:val="17"/>
                <w:szCs w:val="17"/>
                <w:color w:val="auto"/>
              </w:rPr>
              <w:t>Due between one to three years</w:t>
            </w:r>
          </w:p>
        </w:tc>
        <w:tc>
          <w:tcPr>
            <w:tcW w:w="6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561.6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3"/>
        </w:trPr>
        <w:tc>
          <w:tcPr>
            <w:tcW w:w="63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Due after three years</w:t>
            </w:r>
          </w:p>
        </w:tc>
        <w:tc>
          <w:tcPr>
            <w:tcW w:w="6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6360" w:type="dxa"/>
            <w:vAlign w:val="bottom"/>
          </w:tcPr>
          <w:p>
            <w:pPr>
              <w:ind w:left="520"/>
              <w:spacing w:after="0"/>
              <w:rPr>
                <w:sz w:val="20"/>
                <w:szCs w:val="20"/>
                <w:color w:val="auto"/>
              </w:rPr>
            </w:pPr>
            <w:r>
              <w:rPr>
                <w:rFonts w:ascii="Arial" w:cs="Arial" w:eastAsia="Arial" w:hAnsi="Arial"/>
                <w:sz w:val="17"/>
                <w:szCs w:val="17"/>
                <w:color w:val="auto"/>
              </w:rPr>
              <w:t>Total</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r>
      <w:tr>
        <w:trPr>
          <w:trHeight w:val="20"/>
        </w:trPr>
        <w:tc>
          <w:tcPr>
            <w:tcW w:w="6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The Company had 667 short-term investments in unrealized loss positions as of December 31, 2021. There were no material unrealized losses from short-term investments and no material realized gains or losses from short-term investments that were reclassified out of accumulated other comprehensive (loss) income for the year ended December 31, 2021.</w:t>
      </w:r>
    </w:p>
    <w:p>
      <w:pPr>
        <w:spacing w:after="0" w:line="198" w:lineRule="exact"/>
        <w:rPr>
          <w:sz w:val="20"/>
          <w:szCs w:val="20"/>
          <w:color w:val="auto"/>
        </w:rPr>
      </w:pPr>
    </w:p>
    <w:p>
      <w:pPr>
        <w:ind w:right="160" w:firstLine="393"/>
        <w:spacing w:after="0" w:line="273" w:lineRule="auto"/>
        <w:rPr>
          <w:sz w:val="20"/>
          <w:szCs w:val="20"/>
          <w:color w:val="auto"/>
        </w:rPr>
      </w:pPr>
      <w:r>
        <w:rPr>
          <w:rFonts w:ascii="Arial" w:cs="Arial" w:eastAsia="Arial" w:hAnsi="Arial"/>
          <w:sz w:val="17"/>
          <w:szCs w:val="17"/>
          <w:color w:val="auto"/>
        </w:rPr>
        <w:t>As of December 31, 2021, the Company’s short-term investments portfolio consisted of nine security types, seven of which were in an unrealized loss position. The Company’s short-term investments had unrealized losses of approximately $9.2 million as of December 31, 2021. Unrealized losses on short-term investments have not been recorded into income because</w:t>
      </w: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management does not intend to sell nor will be required to sell these securities prior to their anticipated recovery, and for which the decline in fair value is largely due to changes in credit spreads. The credit ratings associated with the corporate notes and obligations are mostly unchanged, are highly rated and the issuers continue to make timely principal and interest payments.</w:t>
      </w:r>
    </w:p>
    <w:p>
      <w:pPr>
        <w:spacing w:after="0" w:line="198"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The Company recorded $7.5 million, $12.5 million, and $22.8 million in interest income from its cash, cash equivalents and short-term investments for the years ended December 31, 2021, 2020 and 2019,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125" w:lineRule="exact"/>
        <w:rPr>
          <w:sz w:val="20"/>
          <w:szCs w:val="20"/>
          <w:color w:val="auto"/>
        </w:rPr>
      </w:pPr>
    </w:p>
    <w:p>
      <w:pPr>
        <w:ind w:right="160" w:firstLine="433"/>
        <w:spacing w:after="0" w:line="273"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67"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7"/>
                <w:szCs w:val="17"/>
                <w:b w:val="1"/>
                <w:bCs w:val="1"/>
                <w:color w:val="auto"/>
              </w:rPr>
              <w:t>As of December 31, 2021</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2"/>
        </w:trPr>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Money market funds</w:t>
            </w:r>
          </w:p>
        </w:tc>
        <w:tc>
          <w:tcPr>
            <w:tcW w:w="1280" w:type="dxa"/>
            <w:vAlign w:val="bottom"/>
            <w:tcBorders>
              <w:bottom w:val="single" w:sz="8" w:color="auto"/>
            </w:tcBorders>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237.5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237.5</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1,185.1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1,185.1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900" w:firstLine="433"/>
        <w:spacing w:after="0" w:line="289" w:lineRule="auto"/>
        <w:rPr>
          <w:sz w:val="20"/>
          <w:szCs w:val="20"/>
          <w:color w:val="auto"/>
        </w:rPr>
      </w:pPr>
      <w:r>
        <w:rPr>
          <w:rFonts w:ascii="Arial" w:cs="Arial" w:eastAsia="Arial" w:hAnsi="Arial"/>
          <w:sz w:val="17"/>
          <w:szCs w:val="17"/>
          <w:color w:val="auto"/>
        </w:rPr>
        <w:t>As of December 31, 2021, the Company has an investment in a non-marketable equity security in a privately held Company without a readily determinable market value. The investments had a carrying value of $5.6 million and is categorized as Level 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7"/>
                <w:szCs w:val="17"/>
                <w:b w:val="1"/>
                <w:bCs w:val="1"/>
                <w:color w:val="auto"/>
              </w:rPr>
              <w:t>As of December 31, 2020</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2"/>
        </w:trPr>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280" w:type="dxa"/>
            <w:vAlign w:val="bottom"/>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9"/>
                <w:szCs w:val="19"/>
                <w:color w:val="auto"/>
              </w:rPr>
            </w:pPr>
          </w:p>
        </w:tc>
        <w:tc>
          <w:tcPr>
            <w:tcW w:w="1300" w:type="dxa"/>
            <w:vAlign w:val="bottom"/>
          </w:tcPr>
          <w:p>
            <w:pPr>
              <w:jc w:val="right"/>
              <w:ind w:right="1093"/>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Municipal securities</w:t>
            </w: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50"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54" w:lineRule="exact"/>
        <w:rPr>
          <w:sz w:val="20"/>
          <w:szCs w:val="20"/>
          <w:color w:val="auto"/>
        </w:rPr>
      </w:pPr>
    </w:p>
    <w:p>
      <w:pPr>
        <w:jc w:val="both"/>
        <w:ind w:right="280" w:firstLine="433"/>
        <w:spacing w:after="0" w:line="273" w:lineRule="auto"/>
        <w:rPr>
          <w:sz w:val="20"/>
          <w:szCs w:val="20"/>
          <w:color w:val="auto"/>
        </w:rPr>
      </w:pPr>
      <w:r>
        <w:rPr>
          <w:rFonts w:ascii="Arial" w:cs="Arial" w:eastAsia="Arial" w:hAnsi="Arial"/>
          <w:sz w:val="17"/>
          <w:szCs w:val="17"/>
          <w:color w:val="auto"/>
        </w:rPr>
        <w:t>The Company has $695.8 million in aggregate principal amount of 0% convertible senior notes due in 2026 (the "2026 Notes"), and $693.3 million in aggregate principal amount of 0% convertible senior notes due in 2028 (the "2028 Notes" and together with the 2026 Notes, the "Notes"), outstanding as of December 31, 2021. Refer to Note 8 "Debt" for further details on the 2026 Notes and 2028 Notes.</w:t>
      </w:r>
    </w:p>
    <w:p>
      <w:pPr>
        <w:spacing w:after="0" w:line="198"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The estimated fair value of the 2026 Notes and the 2028 Notes, based on a market approach as of December 31, 2021 was approximately $680.8 million and $686.4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and Equipment, Net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02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5"/>
              </w:rPr>
              <w:t>As of December 31,</w:t>
            </w:r>
          </w:p>
        </w:tc>
        <w:tc>
          <w:tcPr>
            <w:tcW w:w="1280" w:type="dxa"/>
            <w:vAlign w:val="bottom"/>
            <w:tcBorders>
              <w:top w:val="single" w:sz="8" w:color="auto"/>
              <w:bottom w:val="single" w:sz="8" w:color="auto"/>
            </w:tcBorders>
          </w:tcPr>
          <w:p>
            <w:pPr>
              <w:spacing w:after="0"/>
              <w:rPr>
                <w:sz w:val="20"/>
                <w:szCs w:val="20"/>
                <w:color w:val="auto"/>
              </w:rPr>
            </w:pPr>
          </w:p>
        </w:tc>
      </w:tr>
      <w:tr>
        <w:trPr>
          <w:trHeight w:val="216"/>
        </w:trPr>
        <w:tc>
          <w:tcPr>
            <w:tcW w:w="70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Data center and other computer equipment</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652.7</w:t>
            </w:r>
          </w:p>
        </w:tc>
      </w:tr>
      <w:tr>
        <w:trPr>
          <w:trHeight w:val="223"/>
        </w:trPr>
        <w:tc>
          <w:tcPr>
            <w:tcW w:w="70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r>
      <w:tr>
        <w:trPr>
          <w:trHeight w:val="223"/>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property and equipment</w:t>
            </w: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w:t>
            </w:r>
          </w:p>
        </w:tc>
      </w:tr>
      <w:tr>
        <w:trPr>
          <w:trHeight w:val="223"/>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(452.6)</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(451.8)</w:t>
            </w:r>
          </w:p>
        </w:tc>
      </w:tr>
      <w:tr>
        <w:trPr>
          <w:trHeight w:val="241"/>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fourth quarter of 2021, the Company retired $65.0 million of fully depreciated data center assets that are no longer in use.</w:t>
      </w:r>
    </w:p>
    <w:p>
      <w:pPr>
        <w:spacing w:after="0" w:line="224"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The Company leases certain infrastructure, computer equipment, and furniture from various third parties, through equipment finance leases. Infrastructure assets as of December 31, 2021 and 2020, respectively, included a total of $469.4 million and $395.2 million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$237.6 million and $156.6 million as of December 31, 2021 and 2020, respectively.</w:t>
      </w:r>
    </w:p>
    <w:p>
      <w:pPr>
        <w:spacing w:after="0" w:line="180" w:lineRule="exact"/>
        <w:rPr>
          <w:sz w:val="20"/>
          <w:szCs w:val="20"/>
          <w:color w:val="auto"/>
        </w:rPr>
      </w:pPr>
    </w:p>
    <w:p>
      <w:pPr>
        <w:ind w:right="640" w:firstLine="433"/>
        <w:spacing w:after="0" w:line="289" w:lineRule="auto"/>
        <w:rPr>
          <w:sz w:val="20"/>
          <w:szCs w:val="20"/>
          <w:color w:val="auto"/>
        </w:rPr>
      </w:pPr>
      <w:r>
        <w:rPr>
          <w:rFonts w:ascii="Arial" w:cs="Arial" w:eastAsia="Arial" w:hAnsi="Arial"/>
          <w:sz w:val="17"/>
          <w:szCs w:val="17"/>
          <w:color w:val="auto"/>
        </w:rPr>
        <w:t>Depreciation expense related to property and equipment was $135.7 million and $145.1 million for the years ended December 31, 2021 and 2020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Business Combination</w:t>
      </w:r>
    </w:p>
    <w:p>
      <w:pPr>
        <w:spacing w:after="0" w:line="256" w:lineRule="exact"/>
        <w:rPr>
          <w:sz w:val="20"/>
          <w:szCs w:val="20"/>
          <w:color w:val="auto"/>
        </w:rPr>
      </w:pPr>
    </w:p>
    <w:p>
      <w:pPr>
        <w:ind w:right="120" w:firstLine="433"/>
        <w:spacing w:after="0" w:line="290" w:lineRule="auto"/>
        <w:rPr>
          <w:sz w:val="20"/>
          <w:szCs w:val="20"/>
          <w:color w:val="auto"/>
        </w:rPr>
      </w:pPr>
      <w:r>
        <w:rPr>
          <w:rFonts w:ascii="Arial" w:cs="Arial" w:eastAsia="Arial" w:hAnsi="Arial"/>
          <w:sz w:val="16"/>
          <w:szCs w:val="16"/>
          <w:color w:val="auto"/>
        </w:rPr>
        <w:t>On March 22, 2021, the Company acquired all outstanding stock of DocSend, a secure document sharing and analytics company. The Company believes the combination of Dropbox, HelloSign, and DocSend will help customers across industries manage end-to-end document workflows—from content collaboration to sharing and e-signature—giving them more control over their business results. The results of DocSend's operations have been included in the Company’s consolidated results of operations since the date of acquisition and were immaterial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20" w:type="dxa"/>
            <w:vAlign w:val="bottom"/>
          </w:tcPr>
          <w:p>
            <w:pPr>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49"/>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60" w:type="dxa"/>
            <w:vAlign w:val="bottom"/>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DocSend</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81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Fair value of assumed DocSend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r>
    </w:tbl>
    <w:p>
      <w:pPr>
        <w:spacing w:after="0" w:line="269" w:lineRule="exact"/>
        <w:rPr>
          <w:sz w:val="20"/>
          <w:szCs w:val="20"/>
          <w:color w:val="auto"/>
        </w:rPr>
      </w:pPr>
    </w:p>
    <w:p>
      <w:pPr>
        <w:ind w:left="44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The fair value of options assumed was based upon the Black-Scholes option-pricing model.</w:t>
      </w:r>
    </w:p>
    <w:p>
      <w:pPr>
        <w:spacing w:after="0" w:line="292"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In addition to the total purchase consideration above, the Company has compensation agreements with key DocSend personnel consisting of $30.7 million in future cash payments subject to ongoing employee service. The related expense will be recognized within sales and marketing and research and development expenses over the required service period of three years.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The related payments will be paid out evenly on an annual basis in the first and second year, and in quarterly installments in the third year. Payments will begin in the first quarter of 2022 if the requisite service is provided.</w:t>
      </w:r>
    </w:p>
    <w:p>
      <w:pPr>
        <w:spacing w:after="0" w:line="185" w:lineRule="exact"/>
        <w:rPr>
          <w:sz w:val="20"/>
          <w:szCs w:val="20"/>
          <w:color w:val="auto"/>
        </w:rPr>
      </w:pPr>
    </w:p>
    <w:p>
      <w:pPr>
        <w:jc w:val="both"/>
        <w:ind w:right="80" w:firstLine="433"/>
        <w:spacing w:after="0" w:line="273"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7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Assets acquired:</w:t>
            </w: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3"/>
        </w:trPr>
        <w:tc>
          <w:tcPr>
            <w:tcW w:w="7420" w:type="dxa"/>
            <w:vAlign w:val="bottom"/>
          </w:tcPr>
          <w:p>
            <w:pPr>
              <w:ind w:left="560"/>
              <w:spacing w:after="0"/>
              <w:rPr>
                <w:sz w:val="20"/>
                <w:szCs w:val="20"/>
                <w:color w:val="auto"/>
              </w:rPr>
            </w:pPr>
            <w:r>
              <w:rPr>
                <w:rFonts w:ascii="Arial" w:cs="Arial" w:eastAsia="Arial" w:hAnsi="Arial"/>
                <w:sz w:val="17"/>
                <w:szCs w:val="17"/>
                <w:color w:val="auto"/>
              </w:rPr>
              <w:t>Cash and cash equivalents</w:t>
            </w:r>
          </w:p>
        </w:tc>
        <w:tc>
          <w:tcPr>
            <w:tcW w:w="1680" w:type="dxa"/>
            <w:vAlign w:val="bottom"/>
          </w:tcPr>
          <w:p>
            <w:pPr>
              <w:jc w:val="right"/>
              <w:ind w:right="1073"/>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74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Acquisition-related intangible assets</w:t>
            </w: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3"/>
        </w:trPr>
        <w:tc>
          <w:tcPr>
            <w:tcW w:w="742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Accounts receivable, prepaid and other assets</w:t>
            </w:r>
          </w:p>
        </w:tc>
        <w:tc>
          <w:tcPr>
            <w:tcW w:w="16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41"/>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assets acquired</w:t>
            </w:r>
          </w:p>
        </w:tc>
        <w:tc>
          <w:tcPr>
            <w:tcW w:w="168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3"/>
        </w:trPr>
        <w:tc>
          <w:tcPr>
            <w:tcW w:w="7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Liabilities assumed:</w:t>
            </w: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3"/>
        </w:trPr>
        <w:tc>
          <w:tcPr>
            <w:tcW w:w="7420" w:type="dxa"/>
            <w:vAlign w:val="bottom"/>
          </w:tcPr>
          <w:p>
            <w:pPr>
              <w:ind w:left="540"/>
              <w:spacing w:after="0"/>
              <w:rPr>
                <w:sz w:val="20"/>
                <w:szCs w:val="20"/>
                <w:color w:val="auto"/>
              </w:rPr>
            </w:pPr>
            <w:r>
              <w:rPr>
                <w:rFonts w:ascii="Arial" w:cs="Arial" w:eastAsia="Arial" w:hAnsi="Arial"/>
                <w:sz w:val="17"/>
                <w:szCs w:val="17"/>
                <w:color w:val="auto"/>
              </w:rPr>
              <w:t>Accounts payable, accrued and other liabilities</w:t>
            </w:r>
          </w:p>
        </w:tc>
        <w:tc>
          <w:tcPr>
            <w:tcW w:w="1680" w:type="dxa"/>
            <w:vAlign w:val="bottom"/>
          </w:tcPr>
          <w:p>
            <w:pPr>
              <w:jc w:val="right"/>
              <w:ind w:right="1073"/>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3"/>
        </w:trPr>
        <w:tc>
          <w:tcPr>
            <w:tcW w:w="74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Deferred revenue</w:t>
            </w: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742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Deferred tax liability</w:t>
            </w:r>
          </w:p>
        </w:tc>
        <w:tc>
          <w:tcPr>
            <w:tcW w:w="16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74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liabilities assumed</w:t>
            </w:r>
          </w:p>
        </w:tc>
        <w:tc>
          <w:tcPr>
            <w:tcW w:w="16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6"/>
        </w:trPr>
        <w:tc>
          <w:tcPr>
            <w:tcW w:w="74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Net assets acquired, excluding goodwill</w:t>
            </w:r>
          </w:p>
        </w:tc>
        <w:tc>
          <w:tcPr>
            <w:tcW w:w="16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purchase consideration</w:t>
            </w:r>
          </w:p>
        </w:tc>
        <w:tc>
          <w:tcPr>
            <w:tcW w:w="16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w:t>
            </w:r>
          </w:p>
        </w:tc>
      </w:tr>
      <w:tr>
        <w:trPr>
          <w:trHeight w:val="216"/>
        </w:trPr>
        <w:tc>
          <w:tcPr>
            <w:tcW w:w="7420" w:type="dxa"/>
            <w:vAlign w:val="bottom"/>
          </w:tcPr>
          <w:p>
            <w:pPr>
              <w:ind w:left="440"/>
              <w:spacing w:after="0" w:line="217" w:lineRule="exact"/>
              <w:rPr>
                <w:sz w:val="20"/>
                <w:szCs w:val="20"/>
                <w:color w:val="auto"/>
              </w:rPr>
            </w:pPr>
            <w:r>
              <w:rPr>
                <w:rFonts w:ascii="Arial" w:cs="Arial" w:eastAsia="Arial" w:hAnsi="Arial"/>
                <w:sz w:val="17"/>
                <w:szCs w:val="17"/>
                <w:color w:val="auto"/>
              </w:rPr>
              <w:t xml:space="preserve">Goodwill </w:t>
            </w:r>
            <w:r>
              <w:rPr>
                <w:rFonts w:ascii="Arial" w:cs="Arial" w:eastAsia="Arial" w:hAnsi="Arial"/>
                <w:sz w:val="22"/>
                <w:szCs w:val="22"/>
                <w:color w:val="auto"/>
                <w:vertAlign w:val="superscript"/>
              </w:rPr>
              <w:t>(2)</w:t>
            </w:r>
          </w:p>
        </w:tc>
        <w:tc>
          <w:tcPr>
            <w:tcW w:w="1680" w:type="dxa"/>
            <w:vAlign w:val="bottom"/>
            <w:tcBorders>
              <w:bottom w:val="single" w:sz="8" w:color="auto"/>
            </w:tcBorders>
          </w:tcPr>
          <w:p>
            <w:pPr>
              <w:jc w:val="right"/>
              <w:ind w:right="1073"/>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w:t>
            </w:r>
          </w:p>
        </w:tc>
      </w:tr>
      <w:tr>
        <w:trPr>
          <w:trHeight w:val="20"/>
        </w:trPr>
        <w:tc>
          <w:tcPr>
            <w:tcW w:w="7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80" w:hanging="142"/>
        <w:spacing w:after="0"/>
        <w:tabs>
          <w:tab w:leader="none" w:pos="580" w:val="left"/>
        </w:tabs>
        <w:numPr>
          <w:ilvl w:val="0"/>
          <w:numId w:val="36"/>
        </w:numPr>
        <w:rPr>
          <w:rFonts w:ascii="Arial" w:cs="Arial" w:eastAsia="Arial" w:hAnsi="Arial"/>
          <w:sz w:val="8"/>
          <w:szCs w:val="8"/>
          <w:color w:val="auto"/>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w:t>
      </w:r>
    </w:p>
    <w:p>
      <w:pPr>
        <w:spacing w:after="0" w:line="19"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14"/>
          <w:szCs w:val="14"/>
          <w:color w:val="auto"/>
        </w:rPr>
        <w:t>purposes.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120"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0" w:type="dxa"/>
            <w:vAlign w:val="bottom"/>
          </w:tcPr>
          <w:p>
            <w:pPr>
              <w:jc w:val="center"/>
              <w:ind w:left="493"/>
              <w:spacing w:after="0"/>
              <w:rPr>
                <w:sz w:val="20"/>
                <w:szCs w:val="20"/>
                <w:color w:val="auto"/>
              </w:rPr>
            </w:pPr>
            <w:r>
              <w:rPr>
                <w:rFonts w:ascii="Arial" w:cs="Arial" w:eastAsia="Arial" w:hAnsi="Arial"/>
                <w:sz w:val="17"/>
                <w:szCs w:val="17"/>
                <w:color w:val="auto"/>
                <w:w w:val="92"/>
              </w:rPr>
              <w:t>Estimated weighted</w:t>
            </w:r>
          </w:p>
        </w:tc>
        <w:tc>
          <w:tcPr>
            <w:tcW w:w="0" w:type="dxa"/>
            <w:vAlign w:val="bottom"/>
          </w:tcPr>
          <w:p>
            <w:pPr>
              <w:spacing w:after="0"/>
              <w:rPr>
                <w:sz w:val="1"/>
                <w:szCs w:val="1"/>
                <w:color w:val="auto"/>
              </w:rPr>
            </w:pPr>
          </w:p>
        </w:tc>
      </w:tr>
      <w:tr>
        <w:trPr>
          <w:trHeight w:val="170"/>
        </w:trPr>
        <w:tc>
          <w:tcPr>
            <w:tcW w:w="6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vMerge w:val="restart"/>
          </w:tcPr>
          <w:p>
            <w:pPr>
              <w:jc w:val="right"/>
              <w:ind w:right="193"/>
              <w:spacing w:after="0"/>
              <w:rPr>
                <w:sz w:val="20"/>
                <w:szCs w:val="20"/>
                <w:color w:val="auto"/>
              </w:rPr>
            </w:pPr>
            <w:r>
              <w:rPr>
                <w:rFonts w:ascii="Arial" w:cs="Arial" w:eastAsia="Arial" w:hAnsi="Arial"/>
                <w:sz w:val="17"/>
                <w:szCs w:val="17"/>
                <w:color w:val="auto"/>
                <w:w w:val="97"/>
              </w:rPr>
              <w:t>Estimated fair values</w:t>
            </w:r>
          </w:p>
        </w:tc>
        <w:tc>
          <w:tcPr>
            <w:tcW w:w="2200" w:type="dxa"/>
            <w:vAlign w:val="bottom"/>
          </w:tcPr>
          <w:p>
            <w:pPr>
              <w:ind w:left="480"/>
              <w:spacing w:after="0" w:line="171" w:lineRule="exact"/>
              <w:rPr>
                <w:sz w:val="20"/>
                <w:szCs w:val="20"/>
                <w:color w:val="auto"/>
              </w:rPr>
            </w:pPr>
            <w:r>
              <w:rPr>
                <w:rFonts w:ascii="Arial" w:cs="Arial" w:eastAsia="Arial" w:hAnsi="Arial"/>
                <w:sz w:val="17"/>
                <w:szCs w:val="17"/>
                <w:color w:val="auto"/>
              </w:rPr>
              <w:t>average useful lives</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2200" w:type="dxa"/>
            <w:vAlign w:val="bottom"/>
          </w:tcPr>
          <w:p>
            <w:pPr>
              <w:ind w:left="86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Developed technology</w:t>
            </w:r>
          </w:p>
        </w:tc>
        <w:tc>
          <w:tcPr>
            <w:tcW w:w="6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200" w:type="dxa"/>
            <w:vAlign w:val="bottom"/>
            <w:shd w:val="clear" w:color="auto" w:fill="CCEEFF"/>
          </w:tcPr>
          <w:p>
            <w:pPr>
              <w:jc w:val="center"/>
              <w:ind w:left="49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3"/>
        </w:trPr>
        <w:tc>
          <w:tcPr>
            <w:tcW w:w="6060" w:type="dxa"/>
            <w:vAlign w:val="bottom"/>
          </w:tcPr>
          <w:p>
            <w:pPr>
              <w:ind w:left="440"/>
              <w:spacing w:after="0"/>
              <w:rPr>
                <w:sz w:val="20"/>
                <w:szCs w:val="20"/>
                <w:color w:val="auto"/>
              </w:rPr>
            </w:pPr>
            <w:r>
              <w:rPr>
                <w:rFonts w:ascii="Arial" w:cs="Arial" w:eastAsia="Arial" w:hAnsi="Arial"/>
                <w:sz w:val="17"/>
                <w:szCs w:val="17"/>
                <w:color w:val="auto"/>
              </w:rPr>
              <w:t>Customer relationships</w:t>
            </w:r>
          </w:p>
        </w:tc>
        <w:tc>
          <w:tcPr>
            <w:tcW w:w="6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8.1</w:t>
            </w:r>
          </w:p>
        </w:tc>
        <w:tc>
          <w:tcPr>
            <w:tcW w:w="2200" w:type="dxa"/>
            <w:vAlign w:val="bottom"/>
          </w:tcPr>
          <w:p>
            <w:pPr>
              <w:jc w:val="center"/>
              <w:ind w:left="49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Trade name</w:t>
            </w:r>
          </w:p>
        </w:tc>
        <w:tc>
          <w:tcPr>
            <w:tcW w:w="6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0" w:type="dxa"/>
            <w:vAlign w:val="bottom"/>
            <w:shd w:val="clear" w:color="auto" w:fill="CCEEFF"/>
          </w:tcPr>
          <w:p>
            <w:pPr>
              <w:jc w:val="center"/>
              <w:ind w:left="49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7"/>
                <w:szCs w:val="17"/>
                <w:color w:val="auto"/>
              </w:rPr>
              <w:t>Total acquisition-related intangible assets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80" w:firstLine="433"/>
        <w:spacing w:after="0" w:line="326" w:lineRule="auto"/>
        <w:rPr>
          <w:sz w:val="20"/>
          <w:szCs w:val="20"/>
          <w:color w:val="auto"/>
        </w:rPr>
      </w:pPr>
      <w:r>
        <w:rPr>
          <w:rFonts w:ascii="Arial" w:cs="Arial" w:eastAsia="Arial" w:hAnsi="Arial"/>
          <w:sz w:val="15"/>
          <w:szCs w:val="15"/>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63" w:lineRule="exact"/>
        <w:rPr>
          <w:sz w:val="20"/>
          <w:szCs w:val="20"/>
          <w:color w:val="auto"/>
        </w:rPr>
      </w:pPr>
    </w:p>
    <w:p>
      <w:pPr>
        <w:ind w:right="480" w:firstLine="433"/>
        <w:spacing w:after="0" w:line="289" w:lineRule="auto"/>
        <w:rPr>
          <w:sz w:val="20"/>
          <w:szCs w:val="20"/>
          <w:color w:val="auto"/>
        </w:rPr>
      </w:pPr>
      <w:r>
        <w:rPr>
          <w:rFonts w:ascii="Arial" w:cs="Arial" w:eastAsia="Arial" w:hAnsi="Arial"/>
          <w:sz w:val="17"/>
          <w:szCs w:val="17"/>
          <w:color w:val="auto"/>
        </w:rPr>
        <w:t>One-time acquisition-related diligence costs of $1.2 million were expensed within general and administrative expenses as incurred during the three months ended March 31,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Business Combination</w:t>
      </w:r>
    </w:p>
    <w:p>
      <w:pPr>
        <w:spacing w:after="0" w:line="256" w:lineRule="exact"/>
        <w:rPr>
          <w:sz w:val="20"/>
          <w:szCs w:val="20"/>
          <w:color w:val="auto"/>
        </w:rPr>
      </w:pPr>
    </w:p>
    <w:p>
      <w:pPr>
        <w:ind w:firstLine="433"/>
        <w:spacing w:after="0" w:line="298" w:lineRule="auto"/>
        <w:rPr>
          <w:sz w:val="20"/>
          <w:szCs w:val="20"/>
          <w:color w:val="auto"/>
        </w:rPr>
      </w:pPr>
      <w:r>
        <w:rPr>
          <w:rFonts w:ascii="Arial" w:cs="Arial" w:eastAsia="Arial" w:hAnsi="Arial"/>
          <w:sz w:val="16"/>
          <w:szCs w:val="16"/>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tcPr>
          <w:p>
            <w:pPr>
              <w:ind w:left="440"/>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577"/>
        </w:trPr>
        <w:tc>
          <w:tcPr>
            <w:tcW w:w="8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HelloSign</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3"/>
        </w:trPr>
        <w:tc>
          <w:tcPr>
            <w:tcW w:w="82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Fair value of assumed HelloSign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r>
    </w:tbl>
    <w:p>
      <w:pPr>
        <w:spacing w:after="0" w:line="296" w:lineRule="exact"/>
        <w:rPr>
          <w:sz w:val="20"/>
          <w:szCs w:val="20"/>
          <w:color w:val="auto"/>
        </w:rPr>
      </w:pPr>
    </w:p>
    <w:p>
      <w:pPr>
        <w:ind w:left="140" w:hanging="135"/>
        <w:spacing w:after="0"/>
        <w:tabs>
          <w:tab w:leader="none" w:pos="140" w:val="left"/>
        </w:tabs>
        <w:numPr>
          <w:ilvl w:val="0"/>
          <w:numId w:val="37"/>
        </w:numPr>
        <w:rPr>
          <w:rFonts w:ascii="Arial" w:cs="Arial" w:eastAsia="Arial" w:hAnsi="Arial"/>
          <w:sz w:val="9"/>
          <w:szCs w:val="9"/>
          <w:color w:val="auto"/>
        </w:rPr>
      </w:pPr>
      <w:r>
        <w:rPr>
          <w:rFonts w:ascii="Arial" w:cs="Arial" w:eastAsia="Arial" w:hAnsi="Arial"/>
          <w:sz w:val="14"/>
          <w:szCs w:val="14"/>
          <w:color w:val="auto"/>
        </w:rPr>
        <w:t>The fair value of options assumed were based upon the Black-Scholes option-pricing model.</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the total purchase consideration above, the Company has employee holdback agreements with key HelloSign personnel consisting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$48.5 million in cash payments subject to ongoing employee service. The related expenses are recognized within research and development expenses over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required service period of three years. The payments began in the first quarter of 2020, with $16.2 million paid during the year ended December 31, 2021.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remaining balance of $4.1 will be paid evenly in quarterly installments over the remaining required service period.</w:t>
      </w:r>
    </w:p>
    <w:p>
      <w:pPr>
        <w:spacing w:after="0" w:line="238"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3"/>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3"/>
        </w:trPr>
        <w:tc>
          <w:tcPr>
            <w:tcW w:w="8200" w:type="dxa"/>
            <w:vAlign w:val="bottom"/>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223"/>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5"/>
        </w:trPr>
        <w:tc>
          <w:tcPr>
            <w:tcW w:w="8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3"/>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3"/>
        </w:trPr>
        <w:tc>
          <w:tcPr>
            <w:tcW w:w="820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6"/>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16"/>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w:t>
            </w:r>
          </w:p>
        </w:tc>
      </w:tr>
      <w:tr>
        <w:trPr>
          <w:trHeight w:val="241"/>
        </w:trPr>
        <w:tc>
          <w:tcPr>
            <w:tcW w:w="8200" w:type="dxa"/>
            <w:vAlign w:val="bottom"/>
            <w:tcBorders>
              <w:bottom w:val="single" w:sz="8" w:color="CCEEFF"/>
            </w:tcBorders>
            <w:shd w:val="clear" w:color="auto" w:fill="CCEEFF"/>
          </w:tcPr>
          <w:p>
            <w:pPr>
              <w:ind w:left="20"/>
              <w:spacing w:after="0" w:line="217"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40" w:hanging="135"/>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 purposes.</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Estimated weighted average</w:t>
            </w:r>
          </w:p>
        </w:tc>
        <w:tc>
          <w:tcPr>
            <w:tcW w:w="0" w:type="dxa"/>
            <w:vAlign w:val="bottom"/>
          </w:tcPr>
          <w:p>
            <w:pPr>
              <w:spacing w:after="0"/>
              <w:rPr>
                <w:sz w:val="1"/>
                <w:szCs w:val="1"/>
                <w:color w:val="auto"/>
              </w:rPr>
            </w:pPr>
          </w:p>
        </w:tc>
      </w:tr>
      <w:tr>
        <w:trPr>
          <w:trHeight w:val="170"/>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vMerge w:val="restart"/>
          </w:tcPr>
          <w:p>
            <w:pPr>
              <w:jc w:val="right"/>
              <w:ind w:right="253"/>
              <w:spacing w:after="0"/>
              <w:rPr>
                <w:sz w:val="20"/>
                <w:szCs w:val="20"/>
                <w:color w:val="auto"/>
              </w:rPr>
            </w:pPr>
            <w:r>
              <w:rPr>
                <w:rFonts w:ascii="Arial" w:cs="Arial" w:eastAsia="Arial" w:hAnsi="Arial"/>
                <w:sz w:val="17"/>
                <w:szCs w:val="17"/>
                <w:color w:val="auto"/>
              </w:rPr>
              <w:t>Estimated fair values</w:t>
            </w:r>
          </w:p>
        </w:tc>
        <w:tc>
          <w:tcPr>
            <w:tcW w:w="160" w:type="dxa"/>
            <w:vAlign w:val="bottom"/>
          </w:tcPr>
          <w:p>
            <w:pPr>
              <w:spacing w:after="0"/>
              <w:rPr>
                <w:sz w:val="14"/>
                <w:szCs w:val="14"/>
                <w:color w:val="auto"/>
              </w:rPr>
            </w:pPr>
          </w:p>
        </w:tc>
        <w:tc>
          <w:tcPr>
            <w:tcW w:w="2180" w:type="dxa"/>
            <w:vAlign w:val="bottom"/>
          </w:tcPr>
          <w:p>
            <w:pPr>
              <w:jc w:val="center"/>
              <w:spacing w:after="0" w:line="171" w:lineRule="exact"/>
              <w:rPr>
                <w:sz w:val="20"/>
                <w:szCs w:val="20"/>
                <w:color w:val="auto"/>
              </w:rPr>
            </w:pPr>
            <w:r>
              <w:rPr>
                <w:rFonts w:ascii="Arial" w:cs="Arial" w:eastAsia="Arial" w:hAnsi="Arial"/>
                <w:sz w:val="17"/>
                <w:szCs w:val="17"/>
                <w:color w:val="auto"/>
                <w:w w:val="95"/>
              </w:rPr>
              <w:t>useful lives</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4.9</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19.6</w:t>
            </w:r>
          </w:p>
        </w:tc>
        <w:tc>
          <w:tcPr>
            <w:tcW w:w="2340" w:type="dxa"/>
            <w:vAlign w:val="bottom"/>
            <w:gridSpan w:val="2"/>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At the time of acquisition, the acquired intangible assets had a total weighted average amortization period of 4.9 years.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Intangible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6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5"/>
        </w:trPr>
        <w:tc>
          <w:tcPr>
            <w:tcW w:w="6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jc w:val="center"/>
              <w:ind w:left="33"/>
              <w:spacing w:after="0"/>
              <w:rPr>
                <w:sz w:val="20"/>
                <w:szCs w:val="20"/>
                <w:color w:val="auto"/>
              </w:rPr>
            </w:pPr>
            <w:r>
              <w:rPr>
                <w:rFonts w:ascii="Arial" w:cs="Arial" w:eastAsia="Arial" w:hAnsi="Arial"/>
                <w:sz w:val="17"/>
                <w:szCs w:val="17"/>
                <w:b w:val="1"/>
                <w:bCs w:val="1"/>
                <w:color w:val="auto"/>
                <w:w w:val="94"/>
              </w:rPr>
              <w:t>Weighted-</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jc w:val="center"/>
              <w:ind w:left="33"/>
              <w:spacing w:after="0" w:line="171" w:lineRule="exact"/>
              <w:rPr>
                <w:sz w:val="20"/>
                <w:szCs w:val="20"/>
                <w:color w:val="auto"/>
              </w:rPr>
            </w:pPr>
            <w:r>
              <w:rPr>
                <w:rFonts w:ascii="Arial" w:cs="Arial" w:eastAsia="Arial" w:hAnsi="Arial"/>
                <w:sz w:val="17"/>
                <w:szCs w:val="17"/>
                <w:b w:val="1"/>
                <w:bCs w:val="1"/>
                <w:color w:val="auto"/>
                <w:w w:val="90"/>
              </w:rPr>
              <w:t>average</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jc w:val="center"/>
              <w:ind w:left="33"/>
              <w:spacing w:after="0" w:line="171" w:lineRule="exact"/>
              <w:rPr>
                <w:sz w:val="20"/>
                <w:szCs w:val="20"/>
                <w:color w:val="auto"/>
              </w:rPr>
            </w:pPr>
            <w:r>
              <w:rPr>
                <w:rFonts w:ascii="Arial" w:cs="Arial" w:eastAsia="Arial" w:hAnsi="Arial"/>
                <w:sz w:val="17"/>
                <w:szCs w:val="17"/>
                <w:b w:val="1"/>
                <w:bCs w:val="1"/>
                <w:color w:val="auto"/>
                <w:w w:val="95"/>
              </w:rPr>
              <w:t>remaining</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720" w:type="dxa"/>
            <w:vAlign w:val="bottom"/>
            <w:gridSpan w:val="4"/>
            <w:vMerge w:val="restart"/>
          </w:tcPr>
          <w:p>
            <w:pPr>
              <w:jc w:val="right"/>
              <w:ind w:right="273"/>
              <w:spacing w:after="0"/>
              <w:rPr>
                <w:sz w:val="20"/>
                <w:szCs w:val="20"/>
                <w:color w:val="auto"/>
              </w:rPr>
            </w:pPr>
            <w:r>
              <w:rPr>
                <w:rFonts w:ascii="Arial" w:cs="Arial" w:eastAsia="Arial" w:hAnsi="Arial"/>
                <w:sz w:val="17"/>
                <w:szCs w:val="17"/>
                <w:b w:val="1"/>
                <w:bCs w:val="1"/>
                <w:color w:val="auto"/>
              </w:rPr>
              <w:t>As of December 31,</w:t>
            </w:r>
          </w:p>
        </w:tc>
        <w:tc>
          <w:tcPr>
            <w:tcW w:w="520" w:type="dxa"/>
            <w:vAlign w:val="bottom"/>
          </w:tcPr>
          <w:p>
            <w:pPr>
              <w:spacing w:after="0"/>
              <w:rPr>
                <w:sz w:val="14"/>
                <w:szCs w:val="14"/>
                <w:color w:val="auto"/>
              </w:rPr>
            </w:pPr>
          </w:p>
        </w:tc>
        <w:tc>
          <w:tcPr>
            <w:tcW w:w="1540" w:type="dxa"/>
            <w:vAlign w:val="bottom"/>
          </w:tcPr>
          <w:p>
            <w:pPr>
              <w:jc w:val="center"/>
              <w:ind w:left="33"/>
              <w:spacing w:after="0" w:line="172" w:lineRule="exact"/>
              <w:rPr>
                <w:sz w:val="20"/>
                <w:szCs w:val="20"/>
                <w:color w:val="auto"/>
              </w:rPr>
            </w:pPr>
            <w:r>
              <w:rPr>
                <w:rFonts w:ascii="Arial" w:cs="Arial" w:eastAsia="Arial" w:hAnsi="Arial"/>
                <w:sz w:val="17"/>
                <w:szCs w:val="17"/>
                <w:b w:val="1"/>
                <w:bCs w:val="1"/>
                <w:color w:val="auto"/>
                <w:w w:val="93"/>
              </w:rPr>
              <w:t>useful life</w:t>
            </w:r>
          </w:p>
        </w:tc>
        <w:tc>
          <w:tcPr>
            <w:tcW w:w="0" w:type="dxa"/>
            <w:vAlign w:val="bottom"/>
          </w:tcPr>
          <w:p>
            <w:pPr>
              <w:spacing w:after="0"/>
              <w:rPr>
                <w:sz w:val="1"/>
                <w:szCs w:val="1"/>
                <w:color w:val="auto"/>
              </w:rPr>
            </w:pPr>
          </w:p>
        </w:tc>
      </w:tr>
      <w:tr>
        <w:trPr>
          <w:trHeight w:val="222"/>
        </w:trPr>
        <w:tc>
          <w:tcPr>
            <w:tcW w:w="6460" w:type="dxa"/>
            <w:vAlign w:val="bottom"/>
          </w:tcPr>
          <w:p>
            <w:pPr>
              <w:spacing w:after="0"/>
              <w:rPr>
                <w:sz w:val="19"/>
                <w:szCs w:val="19"/>
                <w:color w:val="auto"/>
              </w:rPr>
            </w:pPr>
          </w:p>
        </w:tc>
        <w:tc>
          <w:tcPr>
            <w:tcW w:w="2720" w:type="dxa"/>
            <w:vAlign w:val="bottom"/>
            <w:tcBorders>
              <w:bottom w:val="single" w:sz="8" w:color="auto"/>
            </w:tcBorders>
            <w:gridSpan w:val="4"/>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Pr>
          <w:p>
            <w:pPr>
              <w:jc w:val="center"/>
              <w:ind w:left="33"/>
              <w:spacing w:after="0"/>
              <w:rPr>
                <w:sz w:val="20"/>
                <w:szCs w:val="20"/>
                <w:color w:val="auto"/>
              </w:rPr>
            </w:pPr>
            <w:r>
              <w:rPr>
                <w:rFonts w:ascii="Arial" w:cs="Arial" w:eastAsia="Arial" w:hAnsi="Arial"/>
                <w:sz w:val="17"/>
                <w:szCs w:val="17"/>
                <w:color w:val="auto"/>
                <w:w w:val="91"/>
              </w:rPr>
              <w:t>(In years)</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0"/>
              </w:rPr>
              <w:t>26.0</w:t>
            </w:r>
          </w:p>
        </w:tc>
        <w:tc>
          <w:tcPr>
            <w:tcW w:w="1540" w:type="dxa"/>
            <w:vAlign w:val="bottom"/>
            <w:shd w:val="clear" w:color="auto" w:fill="CCEEFF"/>
          </w:tcPr>
          <w:p>
            <w:pPr>
              <w:ind w:left="1300"/>
              <w:spacing w:after="0"/>
              <w:rPr>
                <w:sz w:val="20"/>
                <w:szCs w:val="20"/>
                <w:color w:val="auto"/>
              </w:rPr>
            </w:pPr>
            <w:r>
              <w:rPr>
                <w:rFonts w:ascii="Arial" w:cs="Arial" w:eastAsia="Arial" w:hAnsi="Arial"/>
                <w:sz w:val="17"/>
                <w:szCs w:val="17"/>
                <w:color w:val="auto"/>
                <w:w w:val="92"/>
              </w:rPr>
              <w:t>3.7</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20.5</w:t>
            </w:r>
          </w:p>
        </w:tc>
        <w:tc>
          <w:tcPr>
            <w:tcW w:w="1540" w:type="dxa"/>
            <w:vAlign w:val="bottom"/>
          </w:tcPr>
          <w:p>
            <w:pPr>
              <w:ind w:left="1300"/>
              <w:spacing w:after="0"/>
              <w:rPr>
                <w:sz w:val="20"/>
                <w:szCs w:val="20"/>
                <w:color w:val="auto"/>
              </w:rPr>
            </w:pPr>
            <w:r>
              <w:rPr>
                <w:rFonts w:ascii="Arial" w:cs="Arial" w:eastAsia="Arial" w:hAnsi="Arial"/>
                <w:sz w:val="17"/>
                <w:szCs w:val="17"/>
                <w:color w:val="auto"/>
                <w:w w:val="92"/>
              </w:rPr>
              <w:t>3.6</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540" w:type="dxa"/>
            <w:vAlign w:val="bottom"/>
            <w:shd w:val="clear" w:color="auto" w:fill="CCEEFF"/>
          </w:tcPr>
          <w:p>
            <w:pPr>
              <w:ind w:left="1300"/>
              <w:spacing w:after="0"/>
              <w:rPr>
                <w:sz w:val="20"/>
                <w:szCs w:val="20"/>
                <w:color w:val="auto"/>
              </w:rPr>
            </w:pPr>
            <w:r>
              <w:rPr>
                <w:rFonts w:ascii="Arial" w:cs="Arial" w:eastAsia="Arial" w:hAnsi="Arial"/>
                <w:sz w:val="17"/>
                <w:szCs w:val="17"/>
                <w:color w:val="auto"/>
                <w:w w:val="92"/>
              </w:rPr>
              <w:t>5.3</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Software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9.0</w:t>
            </w:r>
          </w:p>
        </w:tc>
        <w:tc>
          <w:tcPr>
            <w:tcW w:w="1540" w:type="dxa"/>
            <w:vAlign w:val="bottom"/>
          </w:tcPr>
          <w:p>
            <w:pPr>
              <w:ind w:left="1300"/>
              <w:spacing w:after="0"/>
              <w:rPr>
                <w:sz w:val="20"/>
                <w:szCs w:val="20"/>
                <w:color w:val="auto"/>
              </w:rPr>
            </w:pPr>
            <w:r>
              <w:rPr>
                <w:rFonts w:ascii="Arial" w:cs="Arial" w:eastAsia="Arial" w:hAnsi="Arial"/>
                <w:sz w:val="17"/>
                <w:szCs w:val="17"/>
                <w:color w:val="auto"/>
                <w:w w:val="92"/>
              </w:rPr>
              <w:t>1.3</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540" w:type="dxa"/>
            <w:vAlign w:val="bottom"/>
            <w:shd w:val="clear" w:color="auto" w:fill="CCEEFF"/>
          </w:tcPr>
          <w:p>
            <w:pPr>
              <w:ind w:left="1300"/>
              <w:spacing w:after="0"/>
              <w:rPr>
                <w:sz w:val="20"/>
                <w:szCs w:val="20"/>
                <w:color w:val="auto"/>
              </w:rPr>
            </w:pPr>
            <w:r>
              <w:rPr>
                <w:rFonts w:ascii="Arial" w:cs="Arial" w:eastAsia="Arial" w:hAnsi="Arial"/>
                <w:sz w:val="17"/>
                <w:szCs w:val="17"/>
                <w:color w:val="auto"/>
                <w:w w:val="92"/>
              </w:rPr>
              <w:t>2.7</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Licenses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w:t>
            </w:r>
          </w:p>
        </w:tc>
        <w:tc>
          <w:tcPr>
            <w:tcW w:w="1540" w:type="dxa"/>
            <w:vAlign w:val="bottom"/>
          </w:tcPr>
          <w:p>
            <w:pPr>
              <w:ind w:lef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540" w:type="dxa"/>
            <w:vAlign w:val="bottom"/>
            <w:shd w:val="clear" w:color="auto" w:fill="CCEEFF"/>
          </w:tcPr>
          <w:p>
            <w:pPr>
              <w:ind w:lef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540" w:type="dxa"/>
            <w:vAlign w:val="bottom"/>
            <w:tcBorders>
              <w:bottom w:val="single" w:sz="8" w:color="CCEEFF"/>
            </w:tcBorders>
          </w:tcPr>
          <w:p>
            <w:pPr>
              <w:ind w:left="1300"/>
              <w:spacing w:after="0"/>
              <w:rPr>
                <w:sz w:val="20"/>
                <w:szCs w:val="20"/>
                <w:color w:val="auto"/>
              </w:rPr>
            </w:pPr>
            <w:r>
              <w:rPr>
                <w:rFonts w:ascii="Arial" w:cs="Arial" w:eastAsia="Arial" w:hAnsi="Arial"/>
                <w:sz w:val="17"/>
                <w:szCs w:val="17"/>
                <w:color w:val="auto"/>
                <w:w w:val="92"/>
              </w:rPr>
              <w:t>3.8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0"/>
              </w:rPr>
              <w:t>81.3</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(47.8)</w:t>
            </w: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center"/>
              <w:ind w:left="13"/>
              <w:spacing w:after="0"/>
              <w:rPr>
                <w:sz w:val="20"/>
                <w:szCs w:val="20"/>
                <w:color w:val="auto"/>
              </w:rPr>
            </w:pPr>
            <w:r>
              <w:rPr>
                <w:rFonts w:ascii="Arial" w:cs="Arial" w:eastAsia="Arial" w:hAnsi="Arial"/>
                <w:sz w:val="17"/>
                <w:szCs w:val="17"/>
                <w:color w:val="auto"/>
                <w:w w:val="90"/>
              </w:rPr>
              <w:t>33.5</w:t>
            </w: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Amortization expense was $15.6 million, $14.1 million, and $13.6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bl>
      <w:tblPr>
        <w:tblLayout w:type="fixed"/>
        <w:tblInd w:w="0" w:type="dxa"/>
        <w:tblCellMar>
          <w:top w:w="0" w:type="dxa"/>
          <w:left w:w="0" w:type="dxa"/>
          <w:bottom w:w="0" w:type="dxa"/>
          <w:right w:w="0" w:type="dxa"/>
        </w:tblCellMar>
      </w:tblPr>
      <w:tr>
        <w:trPr>
          <w:trHeight w:val="198"/>
        </w:trPr>
        <w:tc>
          <w:tcPr>
            <w:tcW w:w="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8100" w:type="dxa"/>
            <w:vAlign w:val="bottom"/>
          </w:tcPr>
          <w:p>
            <w:pPr>
              <w:jc w:val="center"/>
              <w:ind w:left="813"/>
              <w:spacing w:after="0"/>
              <w:rPr>
                <w:sz w:val="20"/>
                <w:szCs w:val="20"/>
                <w:color w:val="auto"/>
              </w:rPr>
            </w:pPr>
            <w:r>
              <w:rPr>
                <w:rFonts w:ascii="Arial" w:cs="Arial" w:eastAsia="Arial" w:hAnsi="Arial"/>
                <w:sz w:val="17"/>
                <w:szCs w:val="17"/>
                <w:b w:val="1"/>
                <w:bCs w:val="1"/>
                <w:color w:val="auto"/>
              </w:rPr>
              <w:t>DROPBOX, INC.</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100" w:type="dxa"/>
            <w:vAlign w:val="bottom"/>
          </w:tcPr>
          <w:p>
            <w:pPr>
              <w:jc w:val="center"/>
              <w:ind w:left="833"/>
              <w:spacing w:after="0"/>
              <w:rPr>
                <w:sz w:val="20"/>
                <w:szCs w:val="20"/>
                <w:color w:val="auto"/>
              </w:rPr>
            </w:pPr>
            <w:r>
              <w:rPr>
                <w:rFonts w:ascii="Arial" w:cs="Arial" w:eastAsia="Arial" w:hAnsi="Arial"/>
                <w:sz w:val="17"/>
                <w:szCs w:val="17"/>
                <w:b w:val="1"/>
                <w:bCs w:val="1"/>
                <w:color w:val="auto"/>
              </w:rPr>
              <w:t>NOTES TO CONSOLIDATED FINANCIAL STATEMENTS</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00" w:type="dxa"/>
            <w:vAlign w:val="bottom"/>
          </w:tcPr>
          <w:p>
            <w:pPr>
              <w:jc w:val="center"/>
              <w:ind w:left="813"/>
              <w:spacing w:after="0"/>
              <w:rPr>
                <w:sz w:val="20"/>
                <w:szCs w:val="20"/>
                <w:color w:val="auto"/>
              </w:rPr>
            </w:pPr>
            <w:r>
              <w:rPr>
                <w:rFonts w:ascii="Arial" w:cs="Arial" w:eastAsia="Arial" w:hAnsi="Arial"/>
                <w:sz w:val="17"/>
                <w:szCs w:val="17"/>
                <w:i w:val="1"/>
                <w:iCs w:val="1"/>
                <w:color w:val="auto"/>
                <w:w w:val="93"/>
              </w:rPr>
              <w:t>(Amounts in tables are in millions except per share data, or as otherwise noted)</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29"/>
        </w:trPr>
        <w:tc>
          <w:tcPr>
            <w:tcW w:w="20" w:type="dxa"/>
            <w:vAlign w:val="bottom"/>
          </w:tcPr>
          <w:p>
            <w:pPr>
              <w:spacing w:after="0"/>
              <w:rPr>
                <w:sz w:val="24"/>
                <w:szCs w:val="24"/>
                <w:color w:val="auto"/>
              </w:rPr>
            </w:pPr>
          </w:p>
        </w:tc>
        <w:tc>
          <w:tcPr>
            <w:tcW w:w="9200" w:type="dxa"/>
            <w:vAlign w:val="bottom"/>
            <w:gridSpan w:val="2"/>
          </w:tcPr>
          <w:p>
            <w:pPr>
              <w:ind w:left="420"/>
              <w:spacing w:after="0"/>
              <w:rPr>
                <w:sz w:val="20"/>
                <w:szCs w:val="20"/>
                <w:color w:val="auto"/>
              </w:rPr>
            </w:pPr>
            <w:r>
              <w:rPr>
                <w:rFonts w:ascii="Arial" w:cs="Arial" w:eastAsia="Arial" w:hAnsi="Arial"/>
                <w:sz w:val="17"/>
                <w:szCs w:val="17"/>
                <w:color w:val="auto"/>
              </w:rPr>
              <w:t>Expected future amortization expense for intangible assets as of December 31, 2021, is as follows:</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53"/>
        </w:trPr>
        <w:tc>
          <w:tcPr>
            <w:tcW w:w="1120" w:type="dxa"/>
            <w:vAlign w:val="bottom"/>
            <w:gridSpan w:val="2"/>
          </w:tcPr>
          <w:p>
            <w:pPr>
              <w:ind w:left="40"/>
              <w:spacing w:after="0"/>
              <w:rPr>
                <w:sz w:val="20"/>
                <w:szCs w:val="20"/>
                <w:color w:val="auto"/>
              </w:rPr>
            </w:pPr>
            <w:r>
              <w:rPr>
                <w:rFonts w:ascii="Arial" w:cs="Arial" w:eastAsia="Arial" w:hAnsi="Arial"/>
                <w:sz w:val="17"/>
                <w:szCs w:val="17"/>
                <w:color w:val="auto"/>
              </w:rPr>
              <w:t>2022</w:t>
            </w:r>
          </w:p>
        </w:tc>
        <w:tc>
          <w:tcPr>
            <w:tcW w:w="8100" w:type="dxa"/>
            <w:vAlign w:val="bottom"/>
          </w:tcPr>
          <w:p>
            <w:pPr>
              <w:spacing w:after="0"/>
              <w:rPr>
                <w:sz w:val="24"/>
                <w:szCs w:val="24"/>
                <w:color w:val="auto"/>
              </w:rPr>
            </w:pPr>
          </w:p>
        </w:tc>
        <w:tc>
          <w:tcPr>
            <w:tcW w:w="860" w:type="dxa"/>
            <w:vAlign w:val="bottom"/>
          </w:tcPr>
          <w:p>
            <w:pPr>
              <w:jc w:val="right"/>
              <w:ind w:right="67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8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3"/>
        </w:trPr>
        <w:tc>
          <w:tcPr>
            <w:tcW w:w="1120" w:type="dxa"/>
            <w:vAlign w:val="bottom"/>
            <w:gridSpan w:val="2"/>
          </w:tcPr>
          <w:p>
            <w:pPr>
              <w:ind w:left="40"/>
              <w:spacing w:after="0"/>
              <w:rPr>
                <w:sz w:val="20"/>
                <w:szCs w:val="20"/>
                <w:color w:val="auto"/>
              </w:rPr>
            </w:pPr>
            <w:r>
              <w:rPr>
                <w:rFonts w:ascii="Arial" w:cs="Arial" w:eastAsia="Arial" w:hAnsi="Arial"/>
                <w:sz w:val="17"/>
                <w:szCs w:val="17"/>
                <w:color w:val="auto"/>
              </w:rPr>
              <w:t>2024</w:t>
            </w:r>
          </w:p>
        </w:tc>
        <w:tc>
          <w:tcPr>
            <w:tcW w:w="8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23"/>
        </w:trPr>
        <w:tc>
          <w:tcPr>
            <w:tcW w:w="20" w:type="dxa"/>
            <w:vAlign w:val="bottom"/>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1120" w:type="dxa"/>
            <w:vAlign w:val="bottom"/>
            <w:gridSpan w:val="2"/>
          </w:tcPr>
          <w:p>
            <w:pPr>
              <w:ind w:left="40"/>
              <w:spacing w:after="0"/>
              <w:rPr>
                <w:sz w:val="20"/>
                <w:szCs w:val="20"/>
                <w:color w:val="auto"/>
              </w:rPr>
            </w:pPr>
            <w:r>
              <w:rPr>
                <w:rFonts w:ascii="Arial" w:cs="Arial" w:eastAsia="Arial" w:hAnsi="Arial"/>
                <w:sz w:val="17"/>
                <w:szCs w:val="17"/>
                <w:color w:val="auto"/>
              </w:rPr>
              <w:t>2026</w:t>
            </w:r>
          </w:p>
        </w:tc>
        <w:tc>
          <w:tcPr>
            <w:tcW w:w="8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3"/>
        </w:trPr>
        <w:tc>
          <w:tcPr>
            <w:tcW w:w="20" w:type="dxa"/>
            <w:vAlign w:val="bottom"/>
          </w:tcPr>
          <w:p>
            <w:pPr>
              <w:spacing w:after="0"/>
              <w:rPr>
                <w:sz w:val="19"/>
                <w:szCs w:val="19"/>
                <w:color w:val="auto"/>
              </w:rPr>
            </w:pPr>
          </w:p>
        </w:tc>
        <w:tc>
          <w:tcPr>
            <w:tcW w:w="9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8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20" w:type="dxa"/>
            <w:vAlign w:val="bottom"/>
          </w:tcPr>
          <w:p>
            <w:pPr>
              <w:spacing w:after="0"/>
              <w:rPr>
                <w:sz w:val="18"/>
                <w:szCs w:val="18"/>
                <w:color w:val="auto"/>
              </w:rPr>
            </w:pPr>
          </w:p>
        </w:tc>
        <w:tc>
          <w:tcPr>
            <w:tcW w:w="920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125"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r>
      <w:tr>
        <w:trPr>
          <w:trHeight w:val="223"/>
        </w:trPr>
        <w:tc>
          <w:tcPr>
            <w:tcW w:w="9200" w:type="dxa"/>
            <w:vAlign w:val="bottom"/>
          </w:tcPr>
          <w:p>
            <w:pPr>
              <w:ind w:left="20"/>
              <w:spacing w:after="0"/>
              <w:rPr>
                <w:sz w:val="20"/>
                <w:szCs w:val="20"/>
                <w:color w:val="auto"/>
              </w:rPr>
            </w:pPr>
            <w:r>
              <w:rPr>
                <w:rFonts w:ascii="Arial" w:cs="Arial" w:eastAsia="Arial" w:hAnsi="Arial"/>
                <w:sz w:val="17"/>
                <w:szCs w:val="17"/>
                <w:color w:val="auto"/>
              </w:rPr>
              <w:t>DocSend acquisition</w:t>
            </w: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110.2</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acquisition</w:t>
            </w: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2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foreign currency translation</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r>
      <w:tr>
        <w:trPr>
          <w:trHeight w:val="241"/>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356.6</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December 31, 2021, 2020, and 2019.</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Debt</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24"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In April 2017, the Company entered into an amended and restated credit and guaranty agreement which provided for a $600.0 million revolving loan facility (as amended from time to time, the “revolving credit facility”). In conjunction with the revolving credit facility, the Company paid upfront issuance fees of $2.6 million, which are being amortized over the five-year term of the agreement.</w:t>
      </w:r>
    </w:p>
    <w:p>
      <w:pPr>
        <w:spacing w:after="0" w:line="185" w:lineRule="exact"/>
        <w:rPr>
          <w:sz w:val="20"/>
          <w:szCs w:val="20"/>
          <w:color w:val="auto"/>
        </w:rPr>
      </w:pPr>
    </w:p>
    <w:p>
      <w:pPr>
        <w:ind w:right="40" w:firstLine="433"/>
        <w:spacing w:after="0" w:line="273" w:lineRule="auto"/>
        <w:rPr>
          <w:sz w:val="20"/>
          <w:szCs w:val="20"/>
          <w:color w:val="auto"/>
        </w:rPr>
      </w:pPr>
      <w:r>
        <w:rPr>
          <w:rFonts w:ascii="Arial" w:cs="Arial" w:eastAsia="Arial" w:hAnsi="Arial"/>
          <w:sz w:val="15"/>
          <w:szCs w:val="15"/>
          <w:color w:val="auto"/>
        </w:rPr>
        <w:t>In February 2018, the Company amended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borrowing capacity under the revolving credit facility from $725.0 million to $500.0 million and extended the term of the agreement through March 2026. The Company may from time to 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w:t>
      </w:r>
    </w:p>
    <w:p>
      <w:pPr>
        <w:spacing w:after="0" w:line="2"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fees of $1.7 million, which are being amortized over the remaining term of the agreement</w:t>
      </w:r>
      <w:r>
        <w:rPr>
          <w:rFonts w:ascii="Arial" w:cs="Arial" w:eastAsia="Arial" w:hAnsi="Arial"/>
          <w:sz w:val="20"/>
          <w:szCs w:val="20"/>
          <w:color w:val="008080"/>
        </w:rPr>
        <w:t>,</w:t>
      </w:r>
      <w:r>
        <w:rPr>
          <w:rFonts w:ascii="Arial" w:cs="Arial" w:eastAsia="Arial" w:hAnsi="Arial"/>
          <w:sz w:val="17"/>
          <w:szCs w:val="17"/>
          <w:color w:val="auto"/>
        </w:rPr>
        <w:t xml:space="preserve"> and wrote-off $0.2 million in unamortized deferred debt issuance costs.</w:t>
      </w:r>
    </w:p>
    <w:p>
      <w:pPr>
        <w:spacing w:after="0" w:line="212"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SOFR plus a spread of 1.375% or at an alternative base rate plus a spread of 0.375%.</w:t>
      </w:r>
    </w:p>
    <w:p>
      <w:pPr>
        <w:spacing w:after="0" w:line="202"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December 31, 2021 and 2020, respectively.</w:t>
      </w:r>
    </w:p>
    <w:p>
      <w:pPr>
        <w:spacing w:after="0" w:line="206"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The Company had an aggregate of $52.2 million of letters of credit outstanding under the revolving credit facility as of December 31, 2021, and the Company’s total available borrowing capacity under the revolving credit facility was $447.8 million as of December 31, 2021. The Company’s letters of credit have final expiration dates through 2036.</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50"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202"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this reporting obligations from the issuance date through December 31, 2021. The 2026 Notes will mature on March 1, 2026, and the 2028 Notes will mature on March 1, 2028, in each case, unless earlier converted, redeemed or repurchased.</w:t>
      </w:r>
    </w:p>
    <w:p>
      <w:pPr>
        <w:spacing w:after="0" w:line="202" w:lineRule="exact"/>
        <w:rPr>
          <w:sz w:val="20"/>
          <w:szCs w:val="20"/>
          <w:color w:val="auto"/>
        </w:rPr>
      </w:pPr>
    </w:p>
    <w:p>
      <w:pPr>
        <w:ind w:right="20" w:firstLine="433"/>
        <w:spacing w:after="0" w:line="279" w:lineRule="auto"/>
        <w:rPr>
          <w:sz w:val="20"/>
          <w:szCs w:val="20"/>
          <w:color w:val="auto"/>
        </w:rPr>
      </w:pPr>
      <w:r>
        <w:rPr>
          <w:rFonts w:ascii="Arial" w:cs="Arial" w:eastAsia="Arial" w:hAnsi="Arial"/>
          <w:sz w:val="16"/>
          <w:szCs w:val="16"/>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December 31, 2021.</w:t>
      </w:r>
    </w:p>
    <w:p>
      <w:pPr>
        <w:spacing w:after="0" w:line="195" w:lineRule="exact"/>
        <w:rPr>
          <w:sz w:val="20"/>
          <w:szCs w:val="20"/>
          <w:color w:val="auto"/>
        </w:rPr>
      </w:pPr>
    </w:p>
    <w:p>
      <w:pPr>
        <w:ind w:right="140" w:firstLine="433"/>
        <w:spacing w:after="0" w:line="265" w:lineRule="auto"/>
        <w:rPr>
          <w:sz w:val="20"/>
          <w:szCs w:val="20"/>
          <w:color w:val="auto"/>
        </w:rPr>
      </w:pPr>
      <w:r>
        <w:rPr>
          <w:rFonts w:ascii="Arial" w:cs="Arial" w:eastAsia="Arial" w:hAnsi="Arial"/>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December 31, 2021. In addition, during the year ended December 31, 2021, the conditions allowing holders of the Notes to convert were not met. As a result, the Notes are not convertible during the year ended December 31, 2021.</w:t>
      </w:r>
    </w:p>
    <w:p>
      <w:pPr>
        <w:spacing w:after="0" w:line="206" w:lineRule="exact"/>
        <w:rPr>
          <w:sz w:val="20"/>
          <w:szCs w:val="20"/>
          <w:color w:val="auto"/>
        </w:rPr>
      </w:pPr>
    </w:p>
    <w:p>
      <w:pPr>
        <w:ind w:right="20" w:firstLine="433"/>
        <w:spacing w:after="0" w:line="314" w:lineRule="auto"/>
        <w:rPr>
          <w:sz w:val="20"/>
          <w:szCs w:val="20"/>
          <w:color w:val="auto"/>
        </w:rPr>
      </w:pPr>
      <w:r>
        <w:rPr>
          <w:rFonts w:ascii="Arial" w:cs="Arial" w:eastAsia="Arial" w:hAnsi="Arial"/>
          <w:sz w:val="15"/>
          <w:szCs w:val="15"/>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193"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98"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5" w:lineRule="exact"/>
        <w:rPr>
          <w:sz w:val="20"/>
          <w:szCs w:val="20"/>
          <w:color w:val="auto"/>
        </w:rPr>
      </w:pPr>
    </w:p>
    <w:p>
      <w:pPr>
        <w:ind w:right="60" w:firstLine="433"/>
        <w:spacing w:after="0" w:line="290" w:lineRule="auto"/>
        <w:rPr>
          <w:sz w:val="20"/>
          <w:szCs w:val="20"/>
          <w:color w:val="auto"/>
        </w:rPr>
      </w:pPr>
      <w:r>
        <w:rPr>
          <w:rFonts w:ascii="Arial" w:cs="Arial" w:eastAsia="Arial" w:hAnsi="Arial"/>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86" w:lineRule="exact"/>
        <w:rPr>
          <w:sz w:val="20"/>
          <w:szCs w:val="20"/>
          <w:color w:val="auto"/>
        </w:rPr>
      </w:pPr>
    </w:p>
    <w:p>
      <w:pPr>
        <w:ind w:right="360" w:firstLine="433"/>
        <w:spacing w:after="0" w:line="265" w:lineRule="auto"/>
        <w:rPr>
          <w:sz w:val="20"/>
          <w:szCs w:val="20"/>
          <w:color w:val="auto"/>
        </w:rPr>
      </w:pPr>
      <w:r>
        <w:rPr>
          <w:rFonts w:ascii="Arial" w:cs="Arial" w:eastAsia="Arial" w:hAnsi="Arial"/>
          <w:sz w:val="17"/>
          <w:szCs w:val="17"/>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206" w:lineRule="exact"/>
        <w:rPr>
          <w:sz w:val="20"/>
          <w:szCs w:val="20"/>
          <w:color w:val="auto"/>
        </w:rPr>
      </w:pPr>
    </w:p>
    <w:p>
      <w:pPr>
        <w:jc w:val="both"/>
        <w:ind w:right="220" w:firstLine="433"/>
        <w:spacing w:after="0" w:line="273" w:lineRule="auto"/>
        <w:rPr>
          <w:sz w:val="20"/>
          <w:szCs w:val="20"/>
          <w:color w:val="auto"/>
        </w:rPr>
      </w:pPr>
      <w:r>
        <w:rPr>
          <w:rFonts w:ascii="Arial" w:cs="Arial" w:eastAsia="Arial" w:hAnsi="Arial"/>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the Company’s convertible senior notes as of December 31,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Total</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balance</w:t>
            </w: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Unamortized issuance costs</w:t>
            </w:r>
          </w:p>
        </w:tc>
        <w:tc>
          <w:tcPr>
            <w:tcW w:w="1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value, net</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1,370.3</w:t>
            </w:r>
          </w:p>
        </w:tc>
      </w:tr>
    </w:tbl>
    <w:p>
      <w:pPr>
        <w:spacing w:after="0" w:line="3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year ended December 31, 2021, the Company recognized $1.9 million and $1.3 million in interest expense for the 2026 Notes and the 2028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Notes, respectively, with such interest expense solely consisting of amortization of issuance costs. The effective interest rate for the 2026 Notes and the 2028</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Notes was 0.32% and 0.22%, respectively,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2" w:name="page93"/>
    <w:bookmarkEnd w:id="92"/>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bl>
      <w:tblPr>
        <w:tblLayout w:type="fixed"/>
        <w:tblInd w:w="0" w:type="dxa"/>
        <w:tblCellMar>
          <w:top w:w="0" w:type="dxa"/>
          <w:left w:w="0" w:type="dxa"/>
          <w:bottom w:w="0" w:type="dxa"/>
          <w:right w:w="0" w:type="dxa"/>
        </w:tblCellMar>
      </w:tblPr>
      <w:tr>
        <w:trPr>
          <w:trHeight w:val="198"/>
        </w:trPr>
        <w:tc>
          <w:tcPr>
            <w:tcW w:w="1120" w:type="dxa"/>
            <w:vAlign w:val="bottom"/>
            <w:tcBorders>
              <w:top w:val="single" w:sz="8" w:color="0000FF"/>
            </w:tcBorders>
          </w:tcPr>
          <w:p>
            <w:pPr>
              <w:spacing w:after="0"/>
              <w:rPr>
                <w:sz w:val="17"/>
                <w:szCs w:val="17"/>
                <w:color w:val="auto"/>
              </w:rPr>
            </w:pPr>
          </w:p>
        </w:tc>
        <w:tc>
          <w:tcPr>
            <w:tcW w:w="8100" w:type="dxa"/>
            <w:vAlign w:val="bottom"/>
          </w:tcPr>
          <w:p>
            <w:pPr>
              <w:jc w:val="center"/>
              <w:ind w:left="813"/>
              <w:spacing w:after="0"/>
              <w:rPr>
                <w:sz w:val="20"/>
                <w:szCs w:val="20"/>
                <w:color w:val="auto"/>
              </w:rPr>
            </w:pPr>
            <w:r>
              <w:rPr>
                <w:rFonts w:ascii="Arial" w:cs="Arial" w:eastAsia="Arial" w:hAnsi="Arial"/>
                <w:sz w:val="17"/>
                <w:szCs w:val="17"/>
                <w:b w:val="1"/>
                <w:bCs w:val="1"/>
                <w:color w:val="auto"/>
              </w:rPr>
              <w:t>DROPBOX, INC.</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8"/>
        </w:trPr>
        <w:tc>
          <w:tcPr>
            <w:tcW w:w="1120" w:type="dxa"/>
            <w:vAlign w:val="bottom"/>
          </w:tcPr>
          <w:p>
            <w:pPr>
              <w:spacing w:after="0"/>
              <w:rPr>
                <w:sz w:val="19"/>
                <w:szCs w:val="19"/>
                <w:color w:val="auto"/>
              </w:rPr>
            </w:pPr>
          </w:p>
        </w:tc>
        <w:tc>
          <w:tcPr>
            <w:tcW w:w="8100" w:type="dxa"/>
            <w:vAlign w:val="bottom"/>
          </w:tcPr>
          <w:p>
            <w:pPr>
              <w:jc w:val="center"/>
              <w:ind w:left="833"/>
              <w:spacing w:after="0"/>
              <w:rPr>
                <w:sz w:val="20"/>
                <w:szCs w:val="20"/>
                <w:color w:val="auto"/>
              </w:rPr>
            </w:pPr>
            <w:r>
              <w:rPr>
                <w:rFonts w:ascii="Arial" w:cs="Arial" w:eastAsia="Arial" w:hAnsi="Arial"/>
                <w:sz w:val="17"/>
                <w:szCs w:val="17"/>
                <w:b w:val="1"/>
                <w:bCs w:val="1"/>
                <w:color w:val="auto"/>
              </w:rPr>
              <w:t>NOTES TO CONSOLIDATED FINANCIAL STATEMENTS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5"/>
        </w:trPr>
        <w:tc>
          <w:tcPr>
            <w:tcW w:w="1120" w:type="dxa"/>
            <w:vAlign w:val="bottom"/>
          </w:tcPr>
          <w:p>
            <w:pPr>
              <w:spacing w:after="0"/>
              <w:rPr>
                <w:sz w:val="24"/>
                <w:szCs w:val="24"/>
                <w:color w:val="auto"/>
              </w:rPr>
            </w:pPr>
          </w:p>
        </w:tc>
        <w:tc>
          <w:tcPr>
            <w:tcW w:w="8100" w:type="dxa"/>
            <w:vAlign w:val="bottom"/>
          </w:tcPr>
          <w:p>
            <w:pPr>
              <w:jc w:val="center"/>
              <w:ind w:left="813"/>
              <w:spacing w:after="0"/>
              <w:rPr>
                <w:sz w:val="20"/>
                <w:szCs w:val="20"/>
                <w:color w:val="auto"/>
              </w:rPr>
            </w:pPr>
            <w:r>
              <w:rPr>
                <w:rFonts w:ascii="Arial" w:cs="Arial" w:eastAsia="Arial" w:hAnsi="Arial"/>
                <w:sz w:val="17"/>
                <w:szCs w:val="17"/>
                <w:i w:val="1"/>
                <w:iCs w:val="1"/>
                <w:color w:val="auto"/>
                <w:w w:val="93"/>
              </w:rPr>
              <w:t>(Amounts in tables are in millions except per share data, or as otherwise noted)</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29"/>
        </w:trPr>
        <w:tc>
          <w:tcPr>
            <w:tcW w:w="9220" w:type="dxa"/>
            <w:vAlign w:val="bottom"/>
            <w:gridSpan w:val="2"/>
          </w:tcPr>
          <w:p>
            <w:pPr>
              <w:ind w:left="440"/>
              <w:spacing w:after="0"/>
              <w:rPr>
                <w:sz w:val="20"/>
                <w:szCs w:val="20"/>
                <w:color w:val="auto"/>
              </w:rPr>
            </w:pPr>
            <w:r>
              <w:rPr>
                <w:rFonts w:ascii="Arial" w:cs="Arial" w:eastAsia="Arial" w:hAnsi="Arial"/>
                <w:sz w:val="17"/>
                <w:szCs w:val="17"/>
                <w:color w:val="auto"/>
              </w:rPr>
              <w:t>Maturities on the Company's long-term convertible debt are as follows:</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9"/>
        </w:trPr>
        <w:tc>
          <w:tcPr>
            <w:tcW w:w="1120" w:type="dxa"/>
            <w:vAlign w:val="bottom"/>
            <w:tcBorders>
              <w:bottom w:val="single" w:sz="8" w:color="CCEEFF"/>
            </w:tcBorders>
          </w:tcPr>
          <w:p>
            <w:pPr>
              <w:spacing w:after="0"/>
              <w:rPr>
                <w:sz w:val="21"/>
                <w:szCs w:val="21"/>
                <w:color w:val="auto"/>
              </w:rPr>
            </w:pPr>
          </w:p>
        </w:tc>
        <w:tc>
          <w:tcPr>
            <w:tcW w:w="8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Convertible Debt</w:t>
            </w:r>
          </w:p>
        </w:tc>
      </w:tr>
      <w:tr>
        <w:trPr>
          <w:trHeight w:val="216"/>
        </w:trPr>
        <w:tc>
          <w:tcPr>
            <w:tcW w:w="1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1120" w:type="dxa"/>
            <w:vAlign w:val="bottom"/>
          </w:tcPr>
          <w:p>
            <w:pPr>
              <w:ind w:left="20"/>
              <w:spacing w:after="0"/>
              <w:rPr>
                <w:sz w:val="20"/>
                <w:szCs w:val="20"/>
                <w:color w:val="auto"/>
              </w:rPr>
            </w:pPr>
            <w:r>
              <w:rPr>
                <w:rFonts w:ascii="Arial" w:cs="Arial" w:eastAsia="Arial" w:hAnsi="Arial"/>
                <w:sz w:val="17"/>
                <w:szCs w:val="17"/>
                <w:color w:val="auto"/>
              </w:rPr>
              <w:t>2023</w:t>
            </w:r>
          </w:p>
        </w:tc>
        <w:tc>
          <w:tcPr>
            <w:tcW w:w="8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1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1120" w:type="dxa"/>
            <w:vAlign w:val="bottom"/>
          </w:tcPr>
          <w:p>
            <w:pPr>
              <w:ind w:left="20"/>
              <w:spacing w:after="0"/>
              <w:rPr>
                <w:sz w:val="20"/>
                <w:szCs w:val="20"/>
                <w:color w:val="auto"/>
              </w:rPr>
            </w:pPr>
            <w:r>
              <w:rPr>
                <w:rFonts w:ascii="Arial" w:cs="Arial" w:eastAsia="Arial" w:hAnsi="Arial"/>
                <w:sz w:val="17"/>
                <w:szCs w:val="17"/>
                <w:color w:val="auto"/>
              </w:rPr>
              <w:t>2025</w:t>
            </w:r>
          </w:p>
        </w:tc>
        <w:tc>
          <w:tcPr>
            <w:tcW w:w="8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1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r>
      <w:tr>
        <w:trPr>
          <w:trHeight w:val="223"/>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693.3</w:t>
            </w:r>
          </w:p>
        </w:tc>
      </w:tr>
      <w:tr>
        <w:trPr>
          <w:trHeight w:val="216"/>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bl>
    <w:p>
      <w:pPr>
        <w:spacing w:after="0" w:line="31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Note Hedges and Warrants</w:t>
      </w:r>
    </w:p>
    <w:p>
      <w:pPr>
        <w:spacing w:after="0" w:line="250" w:lineRule="exact"/>
        <w:rPr>
          <w:sz w:val="20"/>
          <w:szCs w:val="20"/>
          <w:color w:val="auto"/>
        </w:rPr>
      </w:pPr>
    </w:p>
    <w:p>
      <w:pPr>
        <w:ind w:right="580" w:firstLine="433"/>
        <w:spacing w:after="0" w:line="300" w:lineRule="auto"/>
        <w:rPr>
          <w:sz w:val="20"/>
          <w:szCs w:val="20"/>
          <w:color w:val="auto"/>
        </w:rPr>
      </w:pPr>
      <w:r>
        <w:rPr>
          <w:rFonts w:ascii="Arial" w:cs="Arial" w:eastAsia="Arial" w:hAnsi="Arial"/>
          <w:sz w:val="15"/>
          <w:szCs w:val="15"/>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w:t>
      </w:r>
    </w:p>
    <w:p>
      <w:pPr>
        <w:ind w:right="20"/>
        <w:spacing w:after="0" w:line="266" w:lineRule="auto"/>
        <w:rPr>
          <w:sz w:val="20"/>
          <w:szCs w:val="20"/>
          <w:color w:val="auto"/>
        </w:rPr>
      </w:pPr>
      <w:r>
        <w:rPr>
          <w:rFonts w:ascii="Arial" w:cs="Arial" w:eastAsia="Arial" w:hAnsi="Arial"/>
          <w:sz w:val="17"/>
          <w:szCs w:val="17"/>
          <w:color w:val="auto"/>
        </w:rPr>
        <w:t>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204"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6"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December 31, 2021, the Company’s stock price was below the exercise price of the respective Note Hedges.</w:t>
      </w:r>
    </w:p>
    <w:p>
      <w:pPr>
        <w:spacing w:after="0" w:line="206" w:lineRule="exact"/>
        <w:rPr>
          <w:sz w:val="20"/>
          <w:szCs w:val="20"/>
          <w:color w:val="auto"/>
        </w:rPr>
      </w:pPr>
    </w:p>
    <w:p>
      <w:pPr>
        <w:ind w:right="140" w:firstLine="433"/>
        <w:spacing w:after="0" w:line="290" w:lineRule="auto"/>
        <w:rPr>
          <w:sz w:val="20"/>
          <w:szCs w:val="20"/>
          <w:color w:val="auto"/>
        </w:rPr>
      </w:pPr>
      <w:r>
        <w:rPr>
          <w:rFonts w:ascii="Arial" w:cs="Arial" w:eastAsia="Arial" w:hAnsi="Arial"/>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6" w:lineRule="exact"/>
        <w:rPr>
          <w:sz w:val="20"/>
          <w:szCs w:val="20"/>
          <w:color w:val="auto"/>
        </w:rPr>
      </w:pPr>
    </w:p>
    <w:p>
      <w:pPr>
        <w:ind w:right="160" w:firstLine="433"/>
        <w:spacing w:after="0" w:line="264" w:lineRule="auto"/>
        <w:rPr>
          <w:sz w:val="20"/>
          <w:szCs w:val="20"/>
          <w:color w:val="auto"/>
        </w:rPr>
      </w:pPr>
      <w:r>
        <w:rPr>
          <w:rFonts w:ascii="Arial" w:cs="Arial" w:eastAsia="Arial" w:hAnsi="Arial"/>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December 31, 2021, the Company’s Class common stock price was below the exercise price of the Warrants.</w:t>
      </w:r>
    </w:p>
    <w:p>
      <w:pPr>
        <w:spacing w:after="0" w:line="205" w:lineRule="exact"/>
        <w:rPr>
          <w:sz w:val="20"/>
          <w:szCs w:val="20"/>
          <w:color w:val="auto"/>
        </w:rPr>
      </w:pPr>
    </w:p>
    <w:p>
      <w:pPr>
        <w:ind w:right="300" w:firstLine="433"/>
        <w:spacing w:after="0" w:line="273" w:lineRule="auto"/>
        <w:rPr>
          <w:sz w:val="20"/>
          <w:szCs w:val="20"/>
          <w:color w:val="auto"/>
        </w:rPr>
      </w:pPr>
      <w:r>
        <w:rPr>
          <w:rFonts w:ascii="Arial" w:cs="Arial" w:eastAsia="Arial" w:hAnsi="Arial"/>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98"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The Note Hedges and the Warrants are equity-classified instruments as a result of being indexed to the Company’s Class A common stock and meeting certain equity classification criteria, and the instruments will not be remeasured in subsequent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periods as long as the instruments continue to meet these accounting criteria. The premium paid for the Note Hedges has been included as a net reduction to additional paid-in capital within stockholders’ (deficit) equity, and the premium received for the Warrants has been included as a net increase to additional paid-in capital within stockholders' (deficit) equity.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Leases</w:t>
      </w:r>
    </w:p>
    <w:p>
      <w:pPr>
        <w:spacing w:after="0" w:line="250" w:lineRule="exact"/>
        <w:rPr>
          <w:sz w:val="20"/>
          <w:szCs w:val="20"/>
          <w:color w:val="auto"/>
        </w:rPr>
      </w:pPr>
    </w:p>
    <w:p>
      <w:pPr>
        <w:jc w:val="both"/>
        <w:ind w:right="180" w:firstLine="315"/>
        <w:spacing w:after="0" w:line="289" w:lineRule="auto"/>
        <w:rPr>
          <w:sz w:val="20"/>
          <w:szCs w:val="20"/>
          <w:color w:val="auto"/>
        </w:rPr>
      </w:pPr>
      <w:r>
        <w:rPr>
          <w:rFonts w:ascii="Arial" w:cs="Arial" w:eastAsia="Arial" w:hAnsi="Arial"/>
          <w:sz w:val="17"/>
          <w:szCs w:val="17"/>
          <w:color w:val="auto"/>
        </w:rPr>
        <w:t>The Company has operating leases for corporate offices and data centers, and finance leases for infrastructure and office equipment. The Company’s leases have remaining lease terms of 1 year to 14 years, some of which include options to extend the leases for up to 5 years.</w:t>
      </w:r>
    </w:p>
    <w:p>
      <w:pPr>
        <w:spacing w:after="0" w:line="290" w:lineRule="exact"/>
        <w:rPr>
          <w:sz w:val="20"/>
          <w:szCs w:val="20"/>
          <w:color w:val="auto"/>
        </w:rPr>
      </w:pPr>
    </w:p>
    <w:p>
      <w:pPr>
        <w:jc w:val="both"/>
        <w:ind w:right="160" w:firstLine="315"/>
        <w:spacing w:after="0" w:line="273" w:lineRule="auto"/>
        <w:rPr>
          <w:sz w:val="20"/>
          <w:szCs w:val="20"/>
          <w:color w:val="auto"/>
        </w:rPr>
      </w:pPr>
      <w:r>
        <w:rPr>
          <w:rFonts w:ascii="Arial" w:cs="Arial" w:eastAsia="Arial" w:hAnsi="Arial"/>
          <w:sz w:val="17"/>
          <w:szCs w:val="17"/>
          <w:color w:val="auto"/>
        </w:rPr>
        <w:t>The Company also has subleases for several floors of its former corporate offices. The Company classifies its subleases as operating leases. The subleases have remaining lease terms of 1 year to 9 years. Sublease income, which is recorded as a reduction of operating lease cost, was $17.6 million for the year ended December 31, 2021 and $7.2 million for the year ended December 31, 2020.</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8540" w:type="dxa"/>
            <w:vAlign w:val="bottom"/>
            <w:gridSpan w:val="2"/>
          </w:tcPr>
          <w:p>
            <w:pPr>
              <w:spacing w:after="0"/>
              <w:rPr>
                <w:sz w:val="20"/>
                <w:szCs w:val="20"/>
                <w:color w:val="auto"/>
              </w:rPr>
            </w:pPr>
            <w:r>
              <w:rPr>
                <w:rFonts w:ascii="Arial" w:cs="Arial" w:eastAsia="Arial" w:hAnsi="Arial"/>
                <w:sz w:val="17"/>
                <w:szCs w:val="17"/>
                <w:color w:val="auto"/>
              </w:rPr>
              <w:t>The components of lease cost were as follows:</w:t>
            </w:r>
          </w:p>
        </w:tc>
        <w:tc>
          <w:tcPr>
            <w:tcW w:w="17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85"/>
        </w:trPr>
        <w:tc>
          <w:tcPr>
            <w:tcW w:w="1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 ended December 3</w:t>
            </w:r>
          </w:p>
        </w:tc>
      </w:tr>
      <w:tr>
        <w:trPr>
          <w:trHeight w:val="216"/>
        </w:trPr>
        <w:tc>
          <w:tcPr>
            <w:tcW w:w="120" w:type="dxa"/>
            <w:vAlign w:val="bottom"/>
          </w:tcPr>
          <w:p>
            <w:pPr>
              <w:spacing w:after="0"/>
              <w:rPr>
                <w:sz w:val="18"/>
                <w:szCs w:val="18"/>
                <w:color w:val="auto"/>
              </w:rPr>
            </w:pPr>
          </w:p>
        </w:tc>
        <w:tc>
          <w:tcPr>
            <w:tcW w:w="84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w:t>
            </w:r>
          </w:p>
        </w:tc>
      </w:tr>
      <w:tr>
        <w:trPr>
          <w:trHeight w:val="216"/>
        </w:trPr>
        <w:tc>
          <w:tcPr>
            <w:tcW w:w="120" w:type="dxa"/>
            <w:vAlign w:val="bottom"/>
          </w:tcPr>
          <w:p>
            <w:pPr>
              <w:spacing w:after="0"/>
              <w:rPr>
                <w:sz w:val="18"/>
                <w:szCs w:val="18"/>
                <w:color w:val="auto"/>
              </w:rPr>
            </w:pPr>
          </w:p>
        </w:tc>
        <w:tc>
          <w:tcPr>
            <w:tcW w:w="8420" w:type="dxa"/>
            <w:vAlign w:val="bottom"/>
            <w:shd w:val="clear" w:color="auto" w:fill="CCEEFF"/>
          </w:tcPr>
          <w:p>
            <w:pPr>
              <w:ind w:left="440"/>
              <w:spacing w:after="0" w:line="216" w:lineRule="exact"/>
              <w:rPr>
                <w:sz w:val="20"/>
                <w:szCs w:val="20"/>
                <w:color w:val="auto"/>
              </w:rPr>
            </w:pPr>
            <w:r>
              <w:rPr>
                <w:rFonts w:ascii="Arial" w:cs="Arial" w:eastAsia="Arial" w:hAnsi="Arial"/>
                <w:sz w:val="17"/>
                <w:szCs w:val="17"/>
                <w:color w:val="auto"/>
              </w:rPr>
              <w:t xml:space="preserve">Operating lease cost </w:t>
            </w:r>
            <w:r>
              <w:rPr>
                <w:rFonts w:ascii="Arial" w:cs="Arial" w:eastAsia="Arial" w:hAnsi="Arial"/>
                <w:sz w:val="22"/>
                <w:szCs w:val="22"/>
                <w:color w:val="auto"/>
                <w:vertAlign w:val="superscript"/>
              </w:rPr>
              <w:t>(1)</w:t>
            </w:r>
          </w:p>
        </w:tc>
        <w:tc>
          <w:tcPr>
            <w:tcW w:w="17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107.8</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12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7"/>
                <w:szCs w:val="17"/>
                <w:color w:val="auto"/>
              </w:rPr>
              <w:t>Finance lease cost:</w:t>
            </w:r>
          </w:p>
        </w:tc>
        <w:tc>
          <w:tcPr>
            <w:tcW w:w="17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8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Amortization of assets under finance lease</w:t>
            </w:r>
          </w:p>
        </w:tc>
        <w:tc>
          <w:tcPr>
            <w:tcW w:w="17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107.1</w:t>
            </w:r>
          </w:p>
        </w:tc>
        <w:tc>
          <w:tcPr>
            <w:tcW w:w="720" w:type="dxa"/>
            <w:vAlign w:val="bottom"/>
            <w:shd w:val="clear" w:color="auto" w:fill="CCEEFF"/>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842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Interest</w:t>
            </w:r>
          </w:p>
        </w:tc>
        <w:tc>
          <w:tcPr>
            <w:tcW w:w="17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8.8</w:t>
            </w:r>
          </w:p>
        </w:tc>
        <w:tc>
          <w:tcPr>
            <w:tcW w:w="720" w:type="dxa"/>
            <w:vAlign w:val="bottom"/>
            <w:tcBorders>
              <w:bottom w:val="single" w:sz="8" w:color="auto"/>
            </w:tcBorders>
          </w:tcPr>
          <w:p>
            <w:pPr>
              <w:spacing w:after="0"/>
              <w:rPr>
                <w:sz w:val="19"/>
                <w:szCs w:val="19"/>
                <w:color w:val="auto"/>
              </w:rPr>
            </w:pPr>
          </w:p>
        </w:tc>
      </w:tr>
      <w:tr>
        <w:trPr>
          <w:trHeight w:val="241"/>
        </w:trPr>
        <w:tc>
          <w:tcPr>
            <w:tcW w:w="120" w:type="dxa"/>
            <w:vAlign w:val="bottom"/>
          </w:tcPr>
          <w:p>
            <w:pPr>
              <w:spacing w:after="0"/>
              <w:rPr>
                <w:sz w:val="20"/>
                <w:szCs w:val="20"/>
                <w:color w:val="auto"/>
              </w:rPr>
            </w:pPr>
          </w:p>
        </w:tc>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finance lease cost</w:t>
            </w:r>
          </w:p>
        </w:tc>
        <w:tc>
          <w:tcPr>
            <w:tcW w:w="17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115.9</w:t>
            </w:r>
          </w:p>
        </w:tc>
        <w:tc>
          <w:tcPr>
            <w:tcW w:w="720" w:type="dxa"/>
            <w:vAlign w:val="bottom"/>
            <w:tcBorders>
              <w:bottom w:val="single" w:sz="8" w:color="auto"/>
            </w:tcBorders>
            <w:shd w:val="clear" w:color="auto" w:fill="CCEEFF"/>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500" w:hanging="180"/>
        <w:spacing w:after="0"/>
        <w:tabs>
          <w:tab w:leader="none" w:pos="500" w:val="left"/>
        </w:tabs>
        <w:numPr>
          <w:ilvl w:val="0"/>
          <w:numId w:val="39"/>
        </w:numPr>
        <w:rPr>
          <w:rFonts w:ascii="Arial" w:cs="Arial" w:eastAsia="Arial" w:hAnsi="Arial"/>
          <w:sz w:val="22"/>
          <w:szCs w:val="22"/>
          <w:color w:val="auto"/>
          <w:vertAlign w:val="superscript"/>
        </w:rPr>
      </w:pPr>
      <w:r>
        <w:rPr>
          <w:rFonts w:ascii="Arial" w:cs="Arial" w:eastAsia="Arial" w:hAnsi="Arial"/>
          <w:sz w:val="15"/>
          <w:szCs w:val="15"/>
          <w:color w:val="auto"/>
        </w:rPr>
        <w:t>Is presented gross of sublease income and includes short-term leases, which are immaterial</w:t>
      </w:r>
    </w:p>
    <w:p>
      <w:pPr>
        <w:spacing w:after="0" w:line="335"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6540" w:type="dxa"/>
            <w:vAlign w:val="bottom"/>
            <w:gridSpan w:val="2"/>
          </w:tcPr>
          <w:p>
            <w:pPr>
              <w:spacing w:after="0"/>
              <w:rPr>
                <w:sz w:val="20"/>
                <w:szCs w:val="20"/>
                <w:color w:val="auto"/>
              </w:rPr>
            </w:pPr>
            <w:r>
              <w:rPr>
                <w:rFonts w:ascii="Arial" w:cs="Arial" w:eastAsia="Arial" w:hAnsi="Arial"/>
                <w:sz w:val="17"/>
                <w:szCs w:val="17"/>
                <w:color w:val="auto"/>
              </w:rPr>
              <w:t>Other information related to leases was as follows:</w:t>
            </w: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600" w:type="dxa"/>
            <w:vAlign w:val="bottom"/>
            <w:gridSpan w:val="2"/>
          </w:tcPr>
          <w:p>
            <w:pPr>
              <w:ind w:left="460"/>
              <w:spacing w:after="0"/>
              <w:rPr>
                <w:sz w:val="20"/>
                <w:szCs w:val="20"/>
                <w:color w:val="auto"/>
              </w:rPr>
            </w:pPr>
            <w:r>
              <w:rPr>
                <w:rFonts w:ascii="Arial" w:cs="Arial" w:eastAsia="Arial" w:hAnsi="Arial"/>
                <w:sz w:val="17"/>
                <w:szCs w:val="17"/>
                <w:b w:val="1"/>
                <w:bCs w:val="1"/>
                <w:color w:val="auto"/>
              </w:rPr>
              <w:t>Year ended December 31,</w:t>
            </w:r>
          </w:p>
        </w:tc>
        <w:tc>
          <w:tcPr>
            <w:tcW w:w="1880" w:type="dxa"/>
            <w:vAlign w:val="bottom"/>
            <w:gridSpan w:val="2"/>
          </w:tcPr>
          <w:p>
            <w:pPr>
              <w:ind w:left="280"/>
              <w:spacing w:after="0"/>
              <w:rPr>
                <w:sz w:val="20"/>
                <w:szCs w:val="20"/>
                <w:color w:val="auto"/>
              </w:rPr>
            </w:pPr>
            <w:r>
              <w:rPr>
                <w:rFonts w:ascii="Arial" w:cs="Arial" w:eastAsia="Arial" w:hAnsi="Arial"/>
                <w:sz w:val="17"/>
                <w:szCs w:val="17"/>
                <w:b w:val="1"/>
                <w:bCs w:val="1"/>
                <w:color w:val="auto"/>
                <w:w w:val="88"/>
              </w:rPr>
              <w:t>Year ended December</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vMerge w:val="restart"/>
          </w:tcPr>
          <w:p>
            <w:pPr>
              <w:ind w:left="440"/>
              <w:spacing w:after="0"/>
              <w:rPr>
                <w:sz w:val="20"/>
                <w:szCs w:val="20"/>
                <w:color w:val="auto"/>
              </w:rPr>
            </w:pPr>
            <w:r>
              <w:rPr>
                <w:rFonts w:ascii="Arial" w:cs="Arial" w:eastAsia="Arial" w:hAnsi="Arial"/>
                <w:sz w:val="17"/>
                <w:szCs w:val="17"/>
                <w:b w:val="1"/>
                <w:bCs w:val="1"/>
                <w:color w:val="auto"/>
              </w:rPr>
              <w:t>Supplemental Cash Flow Information:</w:t>
            </w: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2021</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4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tcPr>
          <w:p>
            <w:pPr>
              <w:ind w:left="640"/>
              <w:spacing w:after="0"/>
              <w:rPr>
                <w:sz w:val="20"/>
                <w:szCs w:val="20"/>
                <w:color w:val="auto"/>
              </w:rPr>
            </w:pPr>
            <w:r>
              <w:rPr>
                <w:rFonts w:ascii="Arial" w:cs="Arial" w:eastAsia="Arial" w:hAnsi="Arial"/>
                <w:sz w:val="17"/>
                <w:szCs w:val="17"/>
                <w:color w:val="auto"/>
              </w:rPr>
              <w:t>Payments for operating leases included in cash from operating activities</w:t>
            </w:r>
          </w:p>
        </w:tc>
        <w:tc>
          <w:tcPr>
            <w:tcW w:w="1660" w:type="dxa"/>
            <w:vAlign w:val="bottom"/>
          </w:tcPr>
          <w:p>
            <w:pPr>
              <w:ind w:left="44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130.3</w:t>
            </w:r>
          </w:p>
        </w:tc>
        <w:tc>
          <w:tcPr>
            <w:tcW w:w="580" w:type="dxa"/>
            <w:vAlign w:val="bottom"/>
          </w:tcPr>
          <w:p>
            <w:pPr>
              <w:ind w:left="2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Payments for finance leases included in cash from operating activities</w:t>
            </w:r>
          </w:p>
        </w:tc>
        <w:tc>
          <w:tcPr>
            <w:tcW w:w="16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8.8</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tcPr>
          <w:p>
            <w:pPr>
              <w:ind w:left="640"/>
              <w:spacing w:after="0"/>
              <w:rPr>
                <w:sz w:val="20"/>
                <w:szCs w:val="20"/>
                <w:color w:val="auto"/>
              </w:rPr>
            </w:pPr>
            <w:r>
              <w:rPr>
                <w:rFonts w:ascii="Arial" w:cs="Arial" w:eastAsia="Arial" w:hAnsi="Arial"/>
                <w:sz w:val="17"/>
                <w:szCs w:val="17"/>
                <w:color w:val="auto"/>
              </w:rPr>
              <w:t>Payments for finance leases included in cash from financing activities</w:t>
            </w:r>
          </w:p>
        </w:tc>
        <w:tc>
          <w:tcPr>
            <w:tcW w:w="166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110.4</w:t>
            </w: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Assets obtained in exchange for lease obligations:</w:t>
            </w:r>
          </w:p>
        </w:tc>
        <w:tc>
          <w:tcPr>
            <w:tcW w:w="1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tcPr>
          <w:p>
            <w:pPr>
              <w:ind w:left="660"/>
              <w:spacing w:after="0"/>
              <w:rPr>
                <w:sz w:val="20"/>
                <w:szCs w:val="20"/>
                <w:color w:val="auto"/>
              </w:rPr>
            </w:pPr>
            <w:r>
              <w:rPr>
                <w:rFonts w:ascii="Arial" w:cs="Arial" w:eastAsia="Arial" w:hAnsi="Arial"/>
                <w:sz w:val="17"/>
                <w:szCs w:val="17"/>
                <w:color w:val="auto"/>
              </w:rPr>
              <w:t>Operating leases</w:t>
            </w:r>
          </w:p>
        </w:tc>
        <w:tc>
          <w:tcPr>
            <w:tcW w:w="166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67.1</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Finance leases</w:t>
            </w:r>
          </w:p>
        </w:tc>
        <w:tc>
          <w:tcPr>
            <w:tcW w:w="1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127.3</w:t>
            </w:r>
          </w:p>
        </w:tc>
        <w:tc>
          <w:tcPr>
            <w:tcW w:w="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w w:val="99"/>
              </w:rPr>
              <w:t>As of December 31, 2021</w:t>
            </w:r>
          </w:p>
        </w:tc>
        <w:tc>
          <w:tcPr>
            <w:tcW w:w="21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5"/>
              </w:rPr>
              <w:t>As of December 31, 2020</w:t>
            </w: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22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23"/>
        </w:trPr>
        <w:tc>
          <w:tcPr>
            <w:tcW w:w="68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280" w:type="dxa"/>
            <w:vAlign w:val="bottom"/>
          </w:tcPr>
          <w:p>
            <w:pPr>
              <w:jc w:val="right"/>
              <w:ind w:right="13"/>
              <w:spacing w:after="0"/>
              <w:rPr>
                <w:sz w:val="20"/>
                <w:szCs w:val="20"/>
                <w:color w:val="auto"/>
              </w:rPr>
            </w:pPr>
            <w:r>
              <w:rPr>
                <w:rFonts w:ascii="Arial" w:cs="Arial" w:eastAsia="Arial" w:hAnsi="Arial"/>
                <w:sz w:val="17"/>
                <w:szCs w:val="17"/>
                <w:color w:val="auto"/>
              </w:rPr>
              <w:t>10.2</w:t>
            </w:r>
          </w:p>
        </w:tc>
        <w:tc>
          <w:tcPr>
            <w:tcW w:w="21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3"/>
        </w:trPr>
        <w:tc>
          <w:tcPr>
            <w:tcW w:w="6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2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2.7</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62"/>
        </w:trPr>
        <w:tc>
          <w:tcPr>
            <w:tcW w:w="68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22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23"/>
        </w:trPr>
        <w:tc>
          <w:tcPr>
            <w:tcW w:w="68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280" w:type="dxa"/>
            <w:vAlign w:val="bottom"/>
          </w:tcPr>
          <w:p>
            <w:pPr>
              <w:jc w:val="right"/>
              <w:ind w:right="13"/>
              <w:spacing w:after="0"/>
              <w:rPr>
                <w:sz w:val="20"/>
                <w:szCs w:val="20"/>
                <w:color w:val="auto"/>
              </w:rPr>
            </w:pPr>
            <w:r>
              <w:rPr>
                <w:rFonts w:ascii="Arial" w:cs="Arial" w:eastAsia="Arial" w:hAnsi="Arial"/>
                <w:sz w:val="17"/>
                <w:szCs w:val="17"/>
                <w:color w:val="auto"/>
              </w:rPr>
              <w:t>4.0 %</w:t>
            </w:r>
          </w:p>
        </w:tc>
        <w:tc>
          <w:tcPr>
            <w:tcW w:w="2120" w:type="dxa"/>
            <w:vAlign w:val="bottom"/>
          </w:tcPr>
          <w:p>
            <w:pPr>
              <w:jc w:val="right"/>
              <w:spacing w:after="0"/>
              <w:rPr>
                <w:sz w:val="20"/>
                <w:szCs w:val="20"/>
                <w:color w:val="auto"/>
              </w:rPr>
            </w:pPr>
            <w:r>
              <w:rPr>
                <w:rFonts w:ascii="Arial" w:cs="Arial" w:eastAsia="Arial" w:hAnsi="Arial"/>
                <w:sz w:val="17"/>
                <w:szCs w:val="17"/>
                <w:color w:val="auto"/>
              </w:rPr>
              <w:t>4.0 %</w:t>
            </w:r>
          </w:p>
        </w:tc>
      </w:tr>
      <w:tr>
        <w:trPr>
          <w:trHeight w:val="223"/>
        </w:trPr>
        <w:tc>
          <w:tcPr>
            <w:tcW w:w="6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2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2.9 %</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r>
    </w:tbl>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under non-cancellable leases as of December 31, 2021 were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ending December 31,</w:t>
            </w:r>
          </w:p>
        </w:tc>
        <w:tc>
          <w:tcPr>
            <w:tcW w:w="2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Finance leases</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113.1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127.2</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58.0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2026</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Total future minimum lease payments</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900.8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298.9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tenant improvement receivables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liability</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right="680" w:firstLine="320"/>
        <w:spacing w:after="0" w:line="248" w:lineRule="auto"/>
        <w:tabs>
          <w:tab w:leader="none" w:pos="490" w:val="left"/>
        </w:tabs>
        <w:numPr>
          <w:ilvl w:val="0"/>
          <w:numId w:val="40"/>
        </w:numPr>
        <w:rPr>
          <w:rFonts w:ascii="Arial" w:cs="Arial" w:eastAsia="Arial" w:hAnsi="Arial"/>
          <w:sz w:val="20"/>
          <w:szCs w:val="20"/>
          <w:color w:val="auto"/>
          <w:vertAlign w:val="superscript"/>
        </w:rPr>
      </w:pPr>
      <w:r>
        <w:rPr>
          <w:rFonts w:ascii="Arial" w:cs="Arial" w:eastAsia="Arial" w:hAnsi="Arial"/>
          <w:sz w:val="14"/>
          <w:szCs w:val="14"/>
          <w:color w:val="auto"/>
        </w:rPr>
        <w:t>Consists of future non-cancelable minimum rental payments under operating leases for the Company’s corporate offices and data centers where the Company has possession, excluding rent payments from the Company’s sub-tenants and variable operating expenses.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8480" w:type="dxa"/>
            <w:vAlign w:val="bottom"/>
          </w:tcPr>
          <w:p>
            <w:pPr>
              <w:spacing w:after="0"/>
              <w:rPr>
                <w:sz w:val="20"/>
                <w:szCs w:val="20"/>
                <w:color w:val="auto"/>
              </w:rPr>
            </w:pPr>
            <w:r>
              <w:rPr>
                <w:rFonts w:ascii="Arial" w:cs="Arial" w:eastAsia="Arial" w:hAnsi="Arial"/>
                <w:sz w:val="17"/>
                <w:szCs w:val="17"/>
                <w:color w:val="auto"/>
                <w:w w:val="99"/>
              </w:rPr>
              <w:t>Future non-cancelable rent payments from the Company's subtenants as of December 31, 2021 were as follows:</w:t>
            </w: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63"/>
        </w:trPr>
        <w:tc>
          <w:tcPr>
            <w:tcW w:w="8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Year ending December 31,</w:t>
            </w:r>
          </w:p>
        </w:tc>
        <w:tc>
          <w:tcPr>
            <w:tcW w:w="66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Operating leases</w:t>
            </w:r>
          </w:p>
        </w:tc>
      </w:tr>
      <w:tr>
        <w:trPr>
          <w:trHeight w:val="223"/>
        </w:trPr>
        <w:tc>
          <w:tcPr>
            <w:tcW w:w="8480" w:type="dxa"/>
            <w:vAlign w:val="bottom"/>
          </w:tcPr>
          <w:p>
            <w:pPr>
              <w:ind w:left="340"/>
              <w:spacing w:after="0"/>
              <w:rPr>
                <w:sz w:val="20"/>
                <w:szCs w:val="20"/>
                <w:color w:val="auto"/>
              </w:rPr>
            </w:pPr>
            <w:r>
              <w:rPr>
                <w:rFonts w:ascii="Arial" w:cs="Arial" w:eastAsia="Arial" w:hAnsi="Arial"/>
                <w:sz w:val="17"/>
                <w:szCs w:val="17"/>
                <w:color w:val="auto"/>
              </w:rPr>
              <w:t>2022</w:t>
            </w:r>
          </w:p>
        </w:tc>
        <w:tc>
          <w:tcPr>
            <w:tcW w:w="6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2023</w:t>
            </w:r>
          </w:p>
        </w:tc>
        <w:tc>
          <w:tcPr>
            <w:tcW w:w="6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8480" w:type="dxa"/>
            <w:vAlign w:val="bottom"/>
          </w:tcPr>
          <w:p>
            <w:pPr>
              <w:ind w:left="340"/>
              <w:spacing w:after="0"/>
              <w:rPr>
                <w:sz w:val="20"/>
                <w:szCs w:val="20"/>
                <w:color w:val="auto"/>
              </w:rPr>
            </w:pPr>
            <w:r>
              <w:rPr>
                <w:rFonts w:ascii="Arial" w:cs="Arial" w:eastAsia="Arial" w:hAnsi="Arial"/>
                <w:sz w:val="17"/>
                <w:szCs w:val="17"/>
                <w:color w:val="auto"/>
              </w:rPr>
              <w:t>2024</w:t>
            </w:r>
          </w:p>
        </w:tc>
        <w:tc>
          <w:tcPr>
            <w:tcW w:w="6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2025</w:t>
            </w:r>
          </w:p>
        </w:tc>
        <w:tc>
          <w:tcPr>
            <w:tcW w:w="6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8480" w:type="dxa"/>
            <w:vAlign w:val="bottom"/>
          </w:tcPr>
          <w:p>
            <w:pPr>
              <w:ind w:left="340"/>
              <w:spacing w:after="0"/>
              <w:rPr>
                <w:sz w:val="20"/>
                <w:szCs w:val="20"/>
                <w:color w:val="auto"/>
              </w:rPr>
            </w:pPr>
            <w:r>
              <w:rPr>
                <w:rFonts w:ascii="Arial" w:cs="Arial" w:eastAsia="Arial" w:hAnsi="Arial"/>
                <w:sz w:val="17"/>
                <w:szCs w:val="17"/>
                <w:color w:val="auto"/>
              </w:rPr>
              <w:t>2026</w:t>
            </w:r>
          </w:p>
        </w:tc>
        <w:tc>
          <w:tcPr>
            <w:tcW w:w="6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Thereafter</w:t>
            </w:r>
          </w:p>
        </w:tc>
        <w:tc>
          <w:tcPr>
            <w:tcW w:w="6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8480" w:type="dxa"/>
            <w:vAlign w:val="bottom"/>
          </w:tcPr>
          <w:p>
            <w:pPr>
              <w:ind w:left="340"/>
              <w:spacing w:after="0"/>
              <w:rPr>
                <w:sz w:val="20"/>
                <w:szCs w:val="20"/>
                <w:color w:val="auto"/>
              </w:rPr>
            </w:pPr>
            <w:r>
              <w:rPr>
                <w:rFonts w:ascii="Arial" w:cs="Arial" w:eastAsia="Arial" w:hAnsi="Arial"/>
                <w:sz w:val="17"/>
                <w:szCs w:val="17"/>
                <w:color w:val="auto"/>
              </w:rPr>
              <w:t>Total future sublease rent payments</w:t>
            </w:r>
          </w:p>
        </w:tc>
        <w:tc>
          <w:tcPr>
            <w:tcW w:w="1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76.</w:t>
            </w: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sub-tenant incentive</w:t>
            </w:r>
          </w:p>
        </w:tc>
        <w:tc>
          <w:tcPr>
            <w:tcW w:w="1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1"/>
        </w:trPr>
        <w:tc>
          <w:tcPr>
            <w:tcW w:w="8480" w:type="dxa"/>
            <w:vAlign w:val="bottom"/>
          </w:tcPr>
          <w:p>
            <w:pPr>
              <w:ind w:left="340"/>
              <w:spacing w:after="0"/>
              <w:rPr>
                <w:sz w:val="20"/>
                <w:szCs w:val="20"/>
                <w:color w:val="auto"/>
              </w:rPr>
            </w:pPr>
            <w:r>
              <w:rPr>
                <w:rFonts w:ascii="Arial" w:cs="Arial" w:eastAsia="Arial" w:hAnsi="Arial"/>
                <w:sz w:val="17"/>
                <w:szCs w:val="17"/>
                <w:color w:val="auto"/>
              </w:rPr>
              <w:t>Total future sublease rent payments, net</w:t>
            </w:r>
          </w:p>
        </w:tc>
        <w:tc>
          <w:tcPr>
            <w:tcW w:w="1380" w:type="dxa"/>
            <w:vAlign w:val="bottom"/>
          </w:tcPr>
          <w:p>
            <w:pPr>
              <w:jc w:val="right"/>
              <w:ind w:right="873"/>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75.</w:t>
            </w:r>
          </w:p>
        </w:tc>
      </w:tr>
    </w:tbl>
    <w:p>
      <w:pPr>
        <w:spacing w:after="0" w:line="200" w:lineRule="exact"/>
        <w:rPr>
          <w:sz w:val="20"/>
          <w:szCs w:val="20"/>
          <w:color w:val="auto"/>
        </w:rPr>
      </w:pPr>
    </w:p>
    <w:p>
      <w:pPr>
        <w:spacing w:after="0" w:line="334" w:lineRule="exact"/>
        <w:rPr>
          <w:sz w:val="20"/>
          <w:szCs w:val="20"/>
          <w:color w:val="auto"/>
        </w:rPr>
      </w:pPr>
    </w:p>
    <w:p>
      <w:pPr>
        <w:ind w:right="160" w:firstLine="393"/>
        <w:spacing w:after="0" w:line="268" w:lineRule="auto"/>
        <w:rPr>
          <w:sz w:val="20"/>
          <w:szCs w:val="20"/>
          <w:color w:val="auto"/>
        </w:rPr>
      </w:pPr>
      <w:r>
        <w:rPr>
          <w:rFonts w:ascii="Arial" w:cs="Arial" w:eastAsia="Arial" w:hAnsi="Arial"/>
          <w:sz w:val="17"/>
          <w:szCs w:val="17"/>
          <w:color w:val="auto"/>
        </w:rPr>
        <w:t>In 2017, the Company entered into a lease agreement for office space in San Francisco, California, to serve as its corporate headquarters. The Company took possession of three phases of the space between June 2018 and December 2019, and began to recognize lease costs and lease obligations, net of tenant improvement reimbursements related to the space. At lease commencement, the Company's total expected minimum obligations for all three phases of the lease were $836.4 million, which</w:t>
      </w: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The Company does not expect to collect further tenant improvement reimbursements through the remainder of the lease. In the fourth quarter of 2021, the Company executed a partial termination of its headquarters and the related sublease for the space. In conjunction with the termination, the Company reduced its assets by $63.6 million and its liabilities by $109.1 million. The Company also paid a one-time fee to the landlord for $32 million. As a result, the Company recognized a $13.6 million gain. As of December 31, 2021, the Company's remaining minimum obligation for its headquarters was $602.3 million.</w:t>
      </w:r>
    </w:p>
    <w:p>
      <w:pPr>
        <w:spacing w:after="0" w:line="193"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In the fourth quarter of 2020, the Company announced a Virtual First work model pursuant to which remote work will become the primary experience for all of its employees. As part of the Virtual First strategy, Dropbox retained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202" w:lineRule="exact"/>
        <w:rPr>
          <w:sz w:val="20"/>
          <w:szCs w:val="20"/>
          <w:color w:val="auto"/>
        </w:rPr>
      </w:pPr>
    </w:p>
    <w:p>
      <w:pPr>
        <w:ind w:right="160" w:firstLine="315"/>
        <w:spacing w:after="0" w:line="273" w:lineRule="auto"/>
        <w:rPr>
          <w:sz w:val="20"/>
          <w:szCs w:val="20"/>
          <w:color w:val="auto"/>
        </w:rPr>
      </w:pPr>
      <w:r>
        <w:rPr>
          <w:rFonts w:ascii="Arial" w:cs="Arial" w:eastAsia="Arial" w:hAnsi="Arial"/>
          <w:sz w:val="17"/>
          <w:szCs w:val="17"/>
          <w:color w:val="auto"/>
        </w:rPr>
        <w:t>In connection with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98" w:lineRule="exact"/>
        <w:rPr>
          <w:sz w:val="20"/>
          <w:szCs w:val="20"/>
          <w:color w:val="auto"/>
        </w:rPr>
      </w:pPr>
    </w:p>
    <w:p>
      <w:pPr>
        <w:ind w:right="20" w:firstLine="315"/>
        <w:spacing w:after="0" w:line="268" w:lineRule="auto"/>
        <w:rPr>
          <w:sz w:val="20"/>
          <w:szCs w:val="20"/>
          <w:color w:val="auto"/>
        </w:rPr>
      </w:pPr>
      <w:r>
        <w:rPr>
          <w:rFonts w:ascii="Arial" w:cs="Arial" w:eastAsia="Arial" w:hAnsi="Arial"/>
          <w:sz w:val="17"/>
          <w:szCs w:val="17"/>
          <w:color w:val="auto"/>
        </w:rPr>
        <w:t>As a result, the Company recorded total impairment of $398.2 million for its operating leases and related assets during the year ended December 31, 2020. Of the total impairment charge, $215.8 million was related to right-of-use assets and $182.4 million was related to other lease related assets including leasehold improvements, furniture and fixtures, and computer equipment. During the year ended December 31, 2021, the Company recorded a total impairment of $31.3 million for its operating leases and related assets.</w:t>
      </w:r>
    </w:p>
    <w:p>
      <w:pPr>
        <w:spacing w:after="0" w:line="202" w:lineRule="exact"/>
        <w:rPr>
          <w:sz w:val="20"/>
          <w:szCs w:val="20"/>
          <w:color w:val="auto"/>
        </w:rPr>
      </w:pPr>
    </w:p>
    <w:p>
      <w:pPr>
        <w:ind w:right="500" w:firstLine="393"/>
        <w:spacing w:after="0" w:line="322" w:lineRule="auto"/>
        <w:rPr>
          <w:sz w:val="20"/>
          <w:szCs w:val="20"/>
          <w:color w:val="auto"/>
        </w:rPr>
      </w:pPr>
      <w:r>
        <w:rPr>
          <w:rFonts w:ascii="Arial" w:cs="Arial" w:eastAsia="Arial" w:hAnsi="Arial"/>
          <w:sz w:val="16"/>
          <w:szCs w:val="16"/>
          <w:color w:val="auto"/>
        </w:rPr>
        <w:t>As of December 31, 2021, the Company had commitments of $29.7 million for an operating lease that has not yet commenced, and therefore is not included in the right-of-use asset or operating lease liability. This operating lease will commence in 2022 with a lease term of 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9" w:lineRule="exact"/>
        <w:rPr>
          <w:sz w:val="20"/>
          <w:szCs w:val="20"/>
          <w:color w:val="auto"/>
        </w:rPr>
      </w:pPr>
    </w:p>
    <w:p>
      <w:pPr>
        <w:ind w:right="340" w:firstLine="433"/>
        <w:spacing w:after="0" w:line="289"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w:t>
      </w:r>
    </w:p>
    <w:p>
      <w:pPr>
        <w:spacing w:after="0" w:line="185" w:lineRule="exact"/>
        <w:rPr>
          <w:sz w:val="20"/>
          <w:szCs w:val="20"/>
          <w:color w:val="auto"/>
        </w:rPr>
      </w:pPr>
    </w:p>
    <w:p>
      <w:pPr>
        <w:ind w:right="280" w:firstLine="433"/>
        <w:spacing w:after="0" w:line="289" w:lineRule="auto"/>
        <w:rPr>
          <w:sz w:val="20"/>
          <w:szCs w:val="20"/>
          <w:color w:val="auto"/>
        </w:rPr>
      </w:pPr>
      <w:r>
        <w:rPr>
          <w:rFonts w:ascii="Arial" w:cs="Arial" w:eastAsia="Arial" w:hAnsi="Arial"/>
          <w:sz w:val="17"/>
          <w:szCs w:val="17"/>
          <w:color w:val="auto"/>
        </w:rPr>
        <w:t>Future minimum payments under the Company's non-cancelable leases, finance lease obligations, and other commitments as of December 31, 2021, are as follows, and exclude non-cancelable rent payments from the Company's sub-tenants:</w:t>
      </w: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1920" w:type="dxa"/>
            <w:vAlign w:val="bottom"/>
            <w:gridSpan w:val="2"/>
          </w:tcPr>
          <w:p>
            <w:pPr>
              <w:jc w:val="right"/>
              <w:ind w:right="353"/>
              <w:spacing w:after="0"/>
              <w:rPr>
                <w:sz w:val="20"/>
                <w:szCs w:val="20"/>
                <w:color w:val="auto"/>
              </w:rPr>
            </w:pPr>
            <w:r>
              <w:rPr>
                <w:rFonts w:ascii="Arial" w:cs="Arial" w:eastAsia="Arial" w:hAnsi="Arial"/>
                <w:sz w:val="17"/>
                <w:szCs w:val="17"/>
                <w:b w:val="1"/>
                <w:bCs w:val="1"/>
                <w:color w:val="auto"/>
              </w:rPr>
              <w:t>Finance</w:t>
            </w:r>
          </w:p>
        </w:tc>
        <w:tc>
          <w:tcPr>
            <w:tcW w:w="120" w:type="dxa"/>
            <w:vAlign w:val="bottom"/>
          </w:tcPr>
          <w:p>
            <w:pPr>
              <w:spacing w:after="0"/>
              <w:rPr>
                <w:sz w:val="16"/>
                <w:szCs w:val="16"/>
                <w:color w:val="auto"/>
              </w:rPr>
            </w:pPr>
          </w:p>
        </w:tc>
        <w:tc>
          <w:tcPr>
            <w:tcW w:w="19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Operating lease</w:t>
            </w:r>
          </w:p>
        </w:tc>
        <w:tc>
          <w:tcPr>
            <w:tcW w:w="148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rPr>
              <w:t>Other</w:t>
            </w:r>
          </w:p>
        </w:tc>
        <w:tc>
          <w:tcPr>
            <w:tcW w:w="0" w:type="dxa"/>
            <w:vAlign w:val="bottom"/>
          </w:tcPr>
          <w:p>
            <w:pPr>
              <w:spacing w:after="0"/>
              <w:rPr>
                <w:sz w:val="1"/>
                <w:szCs w:val="1"/>
                <w:color w:val="auto"/>
              </w:rPr>
            </w:pPr>
          </w:p>
        </w:tc>
      </w:tr>
      <w:tr>
        <w:trPr>
          <w:trHeight w:val="170"/>
        </w:trPr>
        <w:tc>
          <w:tcPr>
            <w:tcW w:w="5480" w:type="dxa"/>
            <w:vAlign w:val="bottom"/>
          </w:tcPr>
          <w:p>
            <w:pPr>
              <w:spacing w:after="0"/>
              <w:rPr>
                <w:sz w:val="14"/>
                <w:szCs w:val="14"/>
                <w:color w:val="auto"/>
              </w:rPr>
            </w:pPr>
          </w:p>
        </w:tc>
        <w:tc>
          <w:tcPr>
            <w:tcW w:w="1260" w:type="dxa"/>
            <w:vAlign w:val="bottom"/>
          </w:tcPr>
          <w:p>
            <w:pPr>
              <w:ind w:left="780"/>
              <w:spacing w:after="0" w:line="171" w:lineRule="exact"/>
              <w:rPr>
                <w:sz w:val="20"/>
                <w:szCs w:val="20"/>
                <w:color w:val="auto"/>
              </w:rPr>
            </w:pPr>
            <w:r>
              <w:rPr>
                <w:rFonts w:ascii="Arial" w:cs="Arial" w:eastAsia="Arial" w:hAnsi="Arial"/>
                <w:sz w:val="17"/>
                <w:szCs w:val="17"/>
                <w:b w:val="1"/>
                <w:bCs w:val="1"/>
                <w:color w:val="auto"/>
              </w:rPr>
              <w:t>lease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920" w:type="dxa"/>
            <w:vAlign w:val="bottom"/>
            <w:gridSpan w:val="2"/>
          </w:tcPr>
          <w:p>
            <w:pPr>
              <w:jc w:val="right"/>
              <w:ind w:right="373"/>
              <w:spacing w:after="0"/>
              <w:rPr>
                <w:sz w:val="20"/>
                <w:szCs w:val="20"/>
                <w:color w:val="auto"/>
              </w:rPr>
            </w:pPr>
            <w:r>
              <w:rPr>
                <w:rFonts w:ascii="Arial" w:cs="Arial" w:eastAsia="Arial" w:hAnsi="Arial"/>
                <w:sz w:val="17"/>
                <w:szCs w:val="17"/>
                <w:b w:val="1"/>
                <w:bCs w:val="1"/>
                <w:color w:val="auto"/>
              </w:rPr>
              <w:t>commitments</w:t>
            </w:r>
          </w:p>
        </w:tc>
        <w:tc>
          <w:tcPr>
            <w:tcW w:w="120" w:type="dxa"/>
            <w:vAlign w:val="bottom"/>
          </w:tcPr>
          <w:p>
            <w:pPr>
              <w:spacing w:after="0"/>
              <w:rPr>
                <w:sz w:val="19"/>
                <w:szCs w:val="19"/>
                <w:color w:val="auto"/>
              </w:rPr>
            </w:pPr>
          </w:p>
        </w:tc>
        <w:tc>
          <w:tcPr>
            <w:tcW w:w="1900" w:type="dxa"/>
            <w:vAlign w:val="bottom"/>
            <w:gridSpan w:val="2"/>
          </w:tcPr>
          <w:p>
            <w:pPr>
              <w:ind w:left="320"/>
              <w:spacing w:after="0" w:line="223" w:lineRule="exact"/>
              <w:rPr>
                <w:sz w:val="20"/>
                <w:szCs w:val="20"/>
                <w:color w:val="auto"/>
              </w:rPr>
            </w:pPr>
            <w:r>
              <w:rPr>
                <w:rFonts w:ascii="Arial" w:cs="Arial" w:eastAsia="Arial" w:hAnsi="Arial"/>
                <w:sz w:val="17"/>
                <w:szCs w:val="17"/>
                <w:b w:val="1"/>
                <w:bCs w:val="1"/>
                <w:color w:val="auto"/>
              </w:rPr>
              <w:t>commitments</w:t>
            </w:r>
            <w:r>
              <w:rPr>
                <w:rFonts w:ascii="Arial" w:cs="Arial" w:eastAsia="Arial" w:hAnsi="Arial"/>
                <w:sz w:val="22"/>
                <w:szCs w:val="22"/>
                <w:b w:val="1"/>
                <w:bCs w:val="1"/>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commitment</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Year ended December 31:</w:t>
            </w:r>
          </w:p>
        </w:tc>
        <w:tc>
          <w:tcPr>
            <w:tcW w:w="1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7"/>
                <w:szCs w:val="17"/>
                <w:color w:val="auto"/>
              </w:rPr>
              <w:t>2022</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127.2</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116.2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2023</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7"/>
                <w:szCs w:val="17"/>
                <w:color w:val="auto"/>
              </w:rPr>
              <w:t>2024</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58.0</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88.6</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2025</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7"/>
                <w:szCs w:val="17"/>
                <w:color w:val="auto"/>
              </w:rPr>
              <w:t>2026</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0.1</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63.6</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Thereafter</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481.2</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7"/>
                <w:szCs w:val="17"/>
                <w:color w:val="auto"/>
              </w:rPr>
              <w:t>Future minimum payments</w:t>
            </w: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298.9</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931.6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4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Less interest and taxes</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440"/>
              <w:spacing w:after="0"/>
              <w:rPr>
                <w:sz w:val="20"/>
                <w:szCs w:val="20"/>
                <w:color w:val="auto"/>
              </w:rPr>
            </w:pPr>
            <w:r>
              <w:rPr>
                <w:rFonts w:ascii="Arial" w:cs="Arial" w:eastAsia="Arial" w:hAnsi="Arial"/>
                <w:sz w:val="17"/>
                <w:szCs w:val="17"/>
                <w:color w:val="auto"/>
              </w:rPr>
              <w:t>Less current portion of the present value of minimum lease payments</w:t>
            </w:r>
          </w:p>
        </w:tc>
        <w:tc>
          <w:tcPr>
            <w:tcW w:w="660" w:type="dxa"/>
            <w:vAlign w:val="bottom"/>
          </w:tcPr>
          <w:p>
            <w:pPr>
              <w:jc w:val="right"/>
              <w:spacing w:after="0"/>
              <w:rPr>
                <w:sz w:val="20"/>
                <w:szCs w:val="20"/>
                <w:color w:val="auto"/>
              </w:rPr>
            </w:pPr>
            <w:r>
              <w:rPr>
                <w:rFonts w:ascii="Arial" w:cs="Arial" w:eastAsia="Arial" w:hAnsi="Arial"/>
                <w:sz w:val="17"/>
                <w:szCs w:val="17"/>
                <w:color w:val="auto"/>
              </w:rPr>
              <w:t>(120.4)</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Financing lease obligations, net of current portion</w:t>
            </w: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20" w:hanging="300"/>
        <w:spacing w:after="0"/>
        <w:tabs>
          <w:tab w:leader="none" w:pos="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This balance includes short-term lease obligations and operating leases that we have entered into but have not yet commenced.</w:t>
      </w:r>
    </w:p>
    <w:p>
      <w:pPr>
        <w:spacing w:after="0" w:line="16" w:lineRule="exact"/>
        <w:rPr>
          <w:rFonts w:ascii="Arial" w:cs="Arial" w:eastAsia="Arial" w:hAnsi="Arial"/>
          <w:sz w:val="12"/>
          <w:szCs w:val="12"/>
          <w:color w:val="auto"/>
        </w:rPr>
      </w:pPr>
    </w:p>
    <w:p>
      <w:pPr>
        <w:ind w:left="620" w:hanging="300"/>
        <w:spacing w:after="0"/>
        <w:tabs>
          <w:tab w:leader="none" w:pos="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This balance excludes founder holdbacks related to our acquisitions of HelloSign and DocSend. See Note 5, "Business Combinations" for further details.</w:t>
      </w:r>
    </w:p>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Legal matters</w:t>
      </w:r>
    </w:p>
    <w:p>
      <w:pPr>
        <w:spacing w:after="0" w:line="250"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5" w:lineRule="exact"/>
        <w:rPr>
          <w:sz w:val="20"/>
          <w:szCs w:val="20"/>
          <w:color w:val="auto"/>
        </w:rPr>
      </w:pPr>
    </w:p>
    <w:p>
      <w:pPr>
        <w:ind w:right="240" w:firstLine="393"/>
        <w:spacing w:after="0" w:line="281" w:lineRule="auto"/>
        <w:rPr>
          <w:sz w:val="20"/>
          <w:szCs w:val="20"/>
          <w:color w:val="auto"/>
        </w:rPr>
      </w:pPr>
      <w:r>
        <w:rPr>
          <w:rFonts w:ascii="Arial" w:cs="Arial" w:eastAsia="Arial" w:hAnsi="Arial"/>
          <w:sz w:val="16"/>
          <w:szCs w:val="16"/>
          <w:color w:val="auto"/>
        </w:rPr>
        <w:t>The Company is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the Company's IPO registration statement. The plaintiffs seek unspecified monetary damages and other relief.</w:t>
      </w:r>
    </w:p>
    <w:p>
      <w:pPr>
        <w:spacing w:after="0" w:line="197" w:lineRule="exact"/>
        <w:rPr>
          <w:sz w:val="20"/>
          <w:szCs w:val="20"/>
          <w:color w:val="auto"/>
        </w:rPr>
      </w:pPr>
    </w:p>
    <w:p>
      <w:pPr>
        <w:ind w:right="140" w:firstLine="393"/>
        <w:spacing w:after="0" w:line="268" w:lineRule="auto"/>
        <w:rPr>
          <w:sz w:val="20"/>
          <w:szCs w:val="20"/>
          <w:color w:val="auto"/>
        </w:rPr>
      </w:pPr>
      <w:r>
        <w:rPr>
          <w:rFonts w:ascii="Arial" w:cs="Arial" w:eastAsia="Arial" w:hAnsi="Arial"/>
          <w:sz w:val="17"/>
          <w:szCs w:val="17"/>
          <w:color w:val="auto"/>
        </w:rPr>
        <w:t>On March 2, 2020, the Federal Plaintiffs filed a consolidated class action complaint. On April 16, 2020, the Dropbox Defendants filed a motion to dismiss the federal consolidated class action complaint. On October 21, 2020, the court issued an order granting the Company's motion to dismiss the Federal Plaintiffs’ complaint, setting a deadline of January 6, 2021 for the Federal Plaintiffs to file any amended complaint. The federal court extended this deadline to February 22, 2021 to provide time</w:t>
      </w: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for the parties to explore resolving the case. On February 11, 2021, the parties attended mediation and reached a settlement in principle for an immaterial amount subject to final documentation and preliminary and final approval by the court. On July 22, 2021, the Court held a preliminary settlement approval hearing. On August 3, 2021, the Court entered an order preliminarily approving the settlement and providing for notice to the class. The Court held a hearing for final approval of the settlement on December 2, 2021. On December 8, 2021, the Court entered an order approving the settlement and dismissing the case. Accordingly, the federal securities litigation is now resolved.</w:t>
      </w:r>
    </w:p>
    <w:p>
      <w:pPr>
        <w:spacing w:after="0" w:line="206" w:lineRule="exact"/>
        <w:rPr>
          <w:sz w:val="20"/>
          <w:szCs w:val="20"/>
          <w:color w:val="auto"/>
        </w:rPr>
      </w:pPr>
    </w:p>
    <w:p>
      <w:pPr>
        <w:ind w:right="140" w:firstLine="393"/>
        <w:spacing w:after="0" w:line="265"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the Company's amended and restated bylaws. On December 4, 2020, the state court issued an order granting the Company's motion to dismiss the consolidated state court case. On December 15, 2020, the State Plaintiffs filed a notice of appeal of this order, and on December 8, 2021, the State Plaintiffs filed their opening brief. Dropbox filed its responding appellate brief on February 4, 2022. The Company believes the appeal and claims are without merit and intends to vigorously defend against them.</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9"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gridSpan w:val="2"/>
          </w:tcPr>
          <w:p>
            <w:pPr>
              <w:spacing w:after="0"/>
              <w:rPr>
                <w:sz w:val="20"/>
                <w:szCs w:val="20"/>
                <w:color w:val="auto"/>
              </w:rPr>
            </w:pPr>
            <w:r>
              <w:rPr>
                <w:rFonts w:ascii="Arial" w:cs="Arial" w:eastAsia="Arial" w:hAnsi="Arial"/>
                <w:sz w:val="17"/>
                <w:szCs w:val="17"/>
                <w:b w:val="1"/>
                <w:bCs w:val="1"/>
                <w:color w:val="auto"/>
              </w:rPr>
              <w:t>Note 11.Accrued and Other Current Liabilities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20"/>
        </w:trPr>
        <w:tc>
          <w:tcPr>
            <w:tcW w:w="40" w:type="dxa"/>
            <w:vAlign w:val="bottom"/>
          </w:tcPr>
          <w:p>
            <w:pPr>
              <w:spacing w:after="0"/>
              <w:rPr>
                <w:sz w:val="24"/>
                <w:szCs w:val="24"/>
                <w:color w:val="auto"/>
              </w:rPr>
            </w:pPr>
          </w:p>
        </w:tc>
        <w:tc>
          <w:tcPr>
            <w:tcW w:w="6700" w:type="dxa"/>
            <w:vAlign w:val="bottom"/>
          </w:tcPr>
          <w:p>
            <w:pPr>
              <w:ind w:left="360"/>
              <w:spacing w:after="0"/>
              <w:rPr>
                <w:sz w:val="20"/>
                <w:szCs w:val="20"/>
                <w:color w:val="auto"/>
              </w:rPr>
            </w:pPr>
            <w:r>
              <w:rPr>
                <w:rFonts w:ascii="Arial" w:cs="Arial" w:eastAsia="Arial" w:hAnsi="Arial"/>
                <w:sz w:val="17"/>
                <w:szCs w:val="17"/>
                <w:color w:val="auto"/>
              </w:rPr>
              <w:t>Accrued and other current liabilities consisted of the following:</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51"/>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w w:val="97"/>
              </w:rPr>
              <w:t>As of December 31,</w:t>
            </w:r>
          </w:p>
        </w:tc>
        <w:tc>
          <w:tcPr>
            <w:tcW w:w="1400" w:type="dxa"/>
            <w:vAlign w:val="bottom"/>
            <w:tcBorders>
              <w:bottom w:val="single" w:sz="8" w:color="auto"/>
            </w:tcBorders>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2020</w:t>
            </w:r>
          </w:p>
        </w:tc>
      </w:tr>
      <w:tr>
        <w:trPr>
          <w:trHeight w:val="32"/>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Non-income taxes payable</w:t>
            </w:r>
          </w:p>
        </w:tc>
        <w:tc>
          <w:tcPr>
            <w:tcW w:w="14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r>
      <w:tr>
        <w:trPr>
          <w:trHeight w:val="223"/>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Accrued legal and other external fees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Other accrued and current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r>
      <w:tr>
        <w:trPr>
          <w:trHeight w:val="216"/>
        </w:trPr>
        <w:tc>
          <w:tcPr>
            <w:tcW w:w="4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Total accrued and other current liabilities</w:t>
            </w:r>
          </w:p>
        </w:tc>
        <w:tc>
          <w:tcPr>
            <w:tcW w:w="1400" w:type="dxa"/>
            <w:vAlign w:val="bottom"/>
            <w:tcBorders>
              <w:bottom w:val="single" w:sz="8" w:color="auto"/>
            </w:tcBorders>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w:t>
            </w: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Stockholders’ (Deficit) Equity</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Common stock</w:t>
      </w:r>
    </w:p>
    <w:p>
      <w:pPr>
        <w:spacing w:after="0" w:line="119"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6" w:lineRule="exact"/>
        <w:rPr>
          <w:sz w:val="20"/>
          <w:szCs w:val="20"/>
          <w:color w:val="auto"/>
        </w:rPr>
      </w:pPr>
    </w:p>
    <w:p>
      <w:pPr>
        <w:ind w:right="40" w:firstLine="433"/>
        <w:spacing w:after="0" w:line="295" w:lineRule="auto"/>
        <w:rPr>
          <w:sz w:val="20"/>
          <w:szCs w:val="20"/>
          <w:color w:val="auto"/>
        </w:rPr>
      </w:pPr>
      <w:r>
        <w:rPr>
          <w:rFonts w:ascii="Arial" w:cs="Arial" w:eastAsia="Arial" w:hAnsi="Arial"/>
          <w:sz w:val="15"/>
          <w:szCs w:val="15"/>
          <w:color w:val="auto"/>
        </w:rPr>
        <w:t>As of December 31, 2021, the Company had authorized 2,400.0 million shares of Class A common stock, 475.0 million shares of Class B common stock, and 800.0 million shares of Class C common stock, each at par value of $0.00001. Holders of Class B common stock voluntarily converted 0.7 million and 77.8 million shares into an equivalent number shares of Class A common stock during the years ended December 31, 2021 and December 31, 2020 respectively. As of December 31, 2021, 292.7 million shares of Class A common stock, 82.8 million shares of Class B common stock, and no shares of Class C common stock were issued and outstanding. As of December 31, 2020, 322.3 million shares of Class A common stock, 83.5 million shares of Class B common stock,</w:t>
      </w:r>
    </w:p>
    <w:p>
      <w:pPr>
        <w:spacing w:after="0" w:line="1" w:lineRule="exact"/>
        <w:rPr>
          <w:sz w:val="20"/>
          <w:szCs w:val="20"/>
          <w:color w:val="auto"/>
        </w:rPr>
      </w:pPr>
    </w:p>
    <w:p>
      <w:pPr>
        <w:ind w:right="300"/>
        <w:spacing w:after="0" w:line="317" w:lineRule="auto"/>
        <w:rPr>
          <w:sz w:val="20"/>
          <w:szCs w:val="20"/>
          <w:color w:val="auto"/>
        </w:rPr>
      </w:pPr>
      <w:r>
        <w:rPr>
          <w:rFonts w:ascii="Arial" w:cs="Arial" w:eastAsia="Arial" w:hAnsi="Arial"/>
          <w:sz w:val="15"/>
          <w:szCs w:val="15"/>
          <w:color w:val="auto"/>
        </w:rPr>
        <w:t>and no shares of Class C common stock were issued and outstanding. Class A shares issued and outstanding as of December 31, 2021 and 2020 exclude restricted stock awards granted to certain executives during the year. Class A shares issued and outstanding as of December 31, 2021 exclude 8.3 million unvested restricted stock awards granted to the Company's co-founder. Class A shares issued and outstanding as of December 31, 2020 exclude 10.3 million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unvested restricted stock awards granted to the Company's co-founders. See "Co-Founder Grants" section below for further details.</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9"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2020, the Company's Board of Directors approved a stock repurchase program for the repurchase of up to $600 million of the Company’s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of Class A common stock. In February 2021 the Board of Directors authorized the Company to repurchase up to an additional $1 billion of</w:t>
      </w:r>
    </w:p>
    <w:p>
      <w:pPr>
        <w:spacing w:after="0"/>
        <w:rPr>
          <w:sz w:val="20"/>
          <w:szCs w:val="20"/>
          <w:color w:val="auto"/>
        </w:rPr>
      </w:pPr>
      <w:r>
        <w:rPr>
          <w:rFonts w:ascii="Arial" w:cs="Arial" w:eastAsia="Arial" w:hAnsi="Arial"/>
          <w:sz w:val="16"/>
          <w:szCs w:val="16"/>
          <w:color w:val="auto"/>
        </w:rPr>
        <w:t>the Company's outstanding shares of Class A common stock. The Company completed the February 2020 stock repurchase program of up to $600 million</w:t>
      </w:r>
    </w:p>
    <w:p>
      <w:pPr>
        <w:spacing w:after="0"/>
        <w:rPr>
          <w:sz w:val="20"/>
          <w:szCs w:val="20"/>
          <w:color w:val="auto"/>
        </w:rPr>
      </w:pPr>
      <w:r>
        <w:rPr>
          <w:rFonts w:ascii="Arial" w:cs="Arial" w:eastAsia="Arial" w:hAnsi="Arial"/>
          <w:sz w:val="16"/>
          <w:szCs w:val="16"/>
          <w:color w:val="auto"/>
        </w:rPr>
        <w:t>during the nine months ended September 30, 2021. In February 2022, the Board of Directors authorized the Company to repurchase up to an additional</w:t>
      </w:r>
    </w:p>
    <w:p>
      <w:pPr>
        <w:spacing w:after="0"/>
        <w:rPr>
          <w:sz w:val="20"/>
          <w:szCs w:val="20"/>
          <w:color w:val="auto"/>
        </w:rPr>
      </w:pPr>
      <w:r>
        <w:rPr>
          <w:rFonts w:ascii="Arial" w:cs="Arial" w:eastAsia="Arial" w:hAnsi="Arial"/>
          <w:sz w:val="16"/>
          <w:szCs w:val="16"/>
          <w:color w:val="auto"/>
        </w:rPr>
        <w:t>$1.2 billion of the Company's outstanding shares of Class A common stock. Share repurchases will be made from time to time in private transactions or open</w:t>
      </w:r>
    </w:p>
    <w:p>
      <w:pPr>
        <w:spacing w:after="0"/>
        <w:rPr>
          <w:sz w:val="20"/>
          <w:szCs w:val="20"/>
          <w:color w:val="auto"/>
        </w:rPr>
      </w:pPr>
      <w:r>
        <w:rPr>
          <w:rFonts w:ascii="Arial" w:cs="Arial" w:eastAsia="Arial" w:hAnsi="Arial"/>
          <w:sz w:val="16"/>
          <w:szCs w:val="16"/>
          <w:color w:val="auto"/>
        </w:rPr>
        <w:t>market purchases, as permitted by securities laws and other legal requirements and will be subject to a review of the circumstances in place at that time,</w:t>
      </w:r>
    </w:p>
    <w:p>
      <w:pPr>
        <w:spacing w:after="0"/>
        <w:rPr>
          <w:sz w:val="20"/>
          <w:szCs w:val="20"/>
          <w:color w:val="auto"/>
        </w:rPr>
      </w:pPr>
      <w:r>
        <w:rPr>
          <w:rFonts w:ascii="Arial" w:cs="Arial" w:eastAsia="Arial" w:hAnsi="Arial"/>
          <w:sz w:val="16"/>
          <w:szCs w:val="16"/>
          <w:color w:val="auto"/>
        </w:rPr>
        <w:t>including prevailing market prices. The program does not obligate the Company to repurchase any specific number of shares and may be discontinued at any</w:t>
      </w:r>
    </w:p>
    <w:p>
      <w:pPr>
        <w:spacing w:after="0"/>
        <w:rPr>
          <w:sz w:val="20"/>
          <w:szCs w:val="20"/>
          <w:color w:val="auto"/>
        </w:rPr>
      </w:pPr>
      <w:r>
        <w:rPr>
          <w:rFonts w:ascii="Arial" w:cs="Arial" w:eastAsia="Arial" w:hAnsi="Arial"/>
          <w:sz w:val="17"/>
          <w:szCs w:val="17"/>
          <w:color w:val="auto"/>
        </w:rPr>
        <w:t>time.</w:t>
      </w:r>
    </w:p>
    <w:p>
      <w:pPr>
        <w:spacing w:after="0" w:line="223" w:lineRule="exact"/>
        <w:rPr>
          <w:sz w:val="20"/>
          <w:szCs w:val="20"/>
          <w:color w:val="auto"/>
        </w:rPr>
      </w:pPr>
    </w:p>
    <w:p>
      <w:pPr>
        <w:ind w:right="220" w:firstLine="433"/>
        <w:spacing w:after="0" w:line="268" w:lineRule="auto"/>
        <w:rPr>
          <w:sz w:val="20"/>
          <w:szCs w:val="20"/>
          <w:color w:val="auto"/>
        </w:rPr>
      </w:pPr>
      <w:r>
        <w:rPr>
          <w:rFonts w:ascii="Arial" w:cs="Arial" w:eastAsia="Arial" w:hAnsi="Arial"/>
          <w:sz w:val="17"/>
          <w:szCs w:val="17"/>
          <w:color w:val="auto"/>
        </w:rPr>
        <w:t>During the year ended December 31, 2021, the Company repurchased and subsequently retired 41.1 million shares of its Class A common stock for an aggregate amount of $1.1 billion. This includes $200.0 million in repurchases of 8.6 million shares of our Class A common stock in conjunction with the issuance of the Notes, which was outside of our stock repurchase program. During the year ended December 31, 2020, the Company repurchased and subsequently retired 20.2 million of its Class A common stock for an aggregate amount of $397.5 million.</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9" w:lineRule="exact"/>
        <w:rPr>
          <w:sz w:val="20"/>
          <w:szCs w:val="20"/>
          <w:color w:val="auto"/>
        </w:rPr>
      </w:pPr>
    </w:p>
    <w:p>
      <w:pPr>
        <w:ind w:right="80" w:firstLine="433"/>
        <w:spacing w:after="0" w:line="286" w:lineRule="auto"/>
        <w:rPr>
          <w:sz w:val="20"/>
          <w:szCs w:val="20"/>
          <w:color w:val="auto"/>
        </w:rPr>
      </w:pPr>
      <w:r>
        <w:rPr>
          <w:rFonts w:ascii="Arial" w:cs="Arial" w:eastAsia="Arial" w:hAnsi="Arial"/>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294"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In connection with the acquisition of DocSend, the Company assumed unvested stock options and an immaterial number of unvested RSUs that had been granted under DocSend's 2013 Stock Plan and DocSend's 2015 Stock Option Grant.</w:t>
      </w:r>
    </w:p>
    <w:p>
      <w:pPr>
        <w:spacing w:after="0" w:line="185"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As of December 31, 2021, there were 25.3 million stock-based awards issued and outstanding and 96.7 million shares available for issuance under the Dropbox Equity Incentive Plans, HelloSign's 2011 Equity Incentive Plan, DocSend's 2013 Stock Plan and DocSend's 2015 Stock Option Grant (collectively, the "Plans").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Plans was as follows for the years ended December 31, 2021 and 2020:</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2"/>
            <w:vMerge w:val="restart"/>
          </w:tcPr>
          <w:p>
            <w:pPr>
              <w:jc w:val="right"/>
              <w:ind w:right="493"/>
              <w:spacing w:after="0"/>
              <w:rPr>
                <w:sz w:val="20"/>
                <w:szCs w:val="20"/>
                <w:color w:val="auto"/>
              </w:rPr>
            </w:pPr>
            <w:r>
              <w:rPr>
                <w:rFonts w:ascii="Arial" w:cs="Arial" w:eastAsia="Arial" w:hAnsi="Arial"/>
                <w:sz w:val="17"/>
                <w:szCs w:val="17"/>
                <w:b w:val="1"/>
                <w:bCs w:val="1"/>
                <w:color w:val="auto"/>
              </w:rPr>
              <w:t>Options outstanding</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80" w:type="dxa"/>
            <w:vAlign w:val="bottom"/>
            <w:gridSpan w:val="3"/>
          </w:tcPr>
          <w:p>
            <w:pPr>
              <w:jc w:val="right"/>
              <w:ind w:right="513"/>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4"/>
        </w:trPr>
        <w:tc>
          <w:tcPr>
            <w:tcW w:w="2760" w:type="dxa"/>
            <w:vAlign w:val="bottom"/>
          </w:tcPr>
          <w:p>
            <w:pPr>
              <w:spacing w:after="0"/>
              <w:rPr>
                <w:sz w:val="14"/>
                <w:szCs w:val="14"/>
                <w:color w:val="auto"/>
              </w:rPr>
            </w:pPr>
          </w:p>
        </w:tc>
        <w:tc>
          <w:tcPr>
            <w:tcW w:w="1340" w:type="dxa"/>
            <w:vAlign w:val="bottom"/>
            <w:gridSpan w:val="2"/>
          </w:tcPr>
          <w:p>
            <w:pPr>
              <w:jc w:val="center"/>
              <w:ind w:right="100"/>
              <w:spacing w:after="0" w:line="164" w:lineRule="exact"/>
              <w:rPr>
                <w:sz w:val="20"/>
                <w:szCs w:val="20"/>
                <w:color w:val="auto"/>
              </w:rPr>
            </w:pPr>
            <w:r>
              <w:rPr>
                <w:rFonts w:ascii="Arial" w:cs="Arial" w:eastAsia="Arial" w:hAnsi="Arial"/>
                <w:sz w:val="17"/>
                <w:szCs w:val="17"/>
                <w:color w:val="auto"/>
                <w:w w:val="95"/>
              </w:rPr>
              <w:t>Number of</w:t>
            </w:r>
          </w:p>
        </w:tc>
        <w:tc>
          <w:tcPr>
            <w:tcW w:w="118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33"/>
              <w:spacing w:after="0"/>
              <w:rPr>
                <w:sz w:val="20"/>
                <w:szCs w:val="20"/>
                <w:color w:val="auto"/>
              </w:rPr>
            </w:pPr>
            <w:r>
              <w:rPr>
                <w:rFonts w:ascii="Arial" w:cs="Arial" w:eastAsia="Arial" w:hAnsi="Arial"/>
                <w:sz w:val="17"/>
                <w:szCs w:val="17"/>
                <w:color w:val="auto"/>
                <w:w w:val="92"/>
              </w:rPr>
              <w:t>Weighted-</w:t>
            </w:r>
          </w:p>
        </w:tc>
        <w:tc>
          <w:tcPr>
            <w:tcW w:w="1340" w:type="dxa"/>
            <w:vAlign w:val="bottom"/>
          </w:tcPr>
          <w:p>
            <w:pPr>
              <w:jc w:val="center"/>
              <w:ind w:left="13"/>
              <w:spacing w:after="0" w:line="164" w:lineRule="exact"/>
              <w:rPr>
                <w:sz w:val="20"/>
                <w:szCs w:val="20"/>
                <w:color w:val="auto"/>
              </w:rPr>
            </w:pPr>
            <w:r>
              <w:rPr>
                <w:rFonts w:ascii="Arial" w:cs="Arial" w:eastAsia="Arial" w:hAnsi="Arial"/>
                <w:sz w:val="17"/>
                <w:szCs w:val="17"/>
                <w:color w:val="auto"/>
                <w:w w:val="92"/>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center"/>
              <w:ind w:right="73"/>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86"/>
              </w:rPr>
              <w:t>shares</w:t>
            </w: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40" w:type="dxa"/>
            <w:vAlign w:val="bottom"/>
          </w:tcPr>
          <w:p>
            <w:pPr>
              <w:jc w:val="center"/>
              <w:ind w:left="33"/>
              <w:spacing w:after="0" w:line="171" w:lineRule="exact"/>
              <w:rPr>
                <w:sz w:val="20"/>
                <w:szCs w:val="20"/>
                <w:color w:val="auto"/>
              </w:rPr>
            </w:pPr>
            <w:r>
              <w:rPr>
                <w:rFonts w:ascii="Arial" w:cs="Arial" w:eastAsia="Arial" w:hAnsi="Arial"/>
                <w:sz w:val="17"/>
                <w:szCs w:val="17"/>
                <w:color w:val="auto"/>
                <w:w w:val="87"/>
              </w:rPr>
              <w:t>average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95"/>
              </w:rPr>
              <w:t>available for</w:t>
            </w:r>
          </w:p>
        </w:tc>
        <w:tc>
          <w:tcPr>
            <w:tcW w:w="1180" w:type="dxa"/>
            <w:vAlign w:val="bottom"/>
          </w:tcPr>
          <w:p>
            <w:pPr>
              <w:jc w:val="center"/>
              <w:spacing w:after="0" w:line="171"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87"/>
              </w:rPr>
              <w:t>average</w:t>
            </w:r>
          </w:p>
        </w:tc>
        <w:tc>
          <w:tcPr>
            <w:tcW w:w="1340" w:type="dxa"/>
            <w:vAlign w:val="bottom"/>
          </w:tcPr>
          <w:p>
            <w:pPr>
              <w:jc w:val="center"/>
              <w:ind w:left="13"/>
              <w:spacing w:after="0" w:line="171" w:lineRule="exact"/>
              <w:rPr>
                <w:sz w:val="20"/>
                <w:szCs w:val="20"/>
                <w:color w:val="auto"/>
              </w:rPr>
            </w:pPr>
            <w:r>
              <w:rPr>
                <w:rFonts w:ascii="Arial" w:cs="Arial" w:eastAsia="Arial" w:hAnsi="Arial"/>
                <w:sz w:val="17"/>
                <w:szCs w:val="17"/>
                <w:color w:val="auto"/>
                <w:w w:val="96"/>
              </w:rPr>
              <w:t>remaining</w:t>
            </w:r>
          </w:p>
        </w:tc>
        <w:tc>
          <w:tcPr>
            <w:tcW w:w="140" w:type="dxa"/>
            <w:vAlign w:val="bottom"/>
          </w:tcPr>
          <w:p>
            <w:pPr>
              <w:spacing w:after="0"/>
              <w:rPr>
                <w:sz w:val="14"/>
                <w:szCs w:val="14"/>
                <w:color w:val="auto"/>
              </w:rPr>
            </w:pPr>
          </w:p>
        </w:tc>
        <w:tc>
          <w:tcPr>
            <w:tcW w:w="900" w:type="dxa"/>
            <w:vAlign w:val="bottom"/>
            <w:vMerge w:val="restart"/>
          </w:tcPr>
          <w:p>
            <w:pPr>
              <w:jc w:val="center"/>
              <w:ind w:right="53"/>
              <w:spacing w:after="0"/>
              <w:rPr>
                <w:sz w:val="20"/>
                <w:szCs w:val="20"/>
                <w:color w:val="auto"/>
              </w:rPr>
            </w:pPr>
            <w:r>
              <w:rPr>
                <w:rFonts w:ascii="Arial" w:cs="Arial" w:eastAsia="Arial" w:hAnsi="Arial"/>
                <w:sz w:val="17"/>
                <w:szCs w:val="17"/>
                <w:color w:val="auto"/>
                <w:w w:val="91"/>
              </w:rPr>
              <w:t>Aggregate</w:t>
            </w: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89"/>
              </w:rPr>
              <w:t>issuance</w:t>
            </w:r>
          </w:p>
        </w:tc>
        <w:tc>
          <w:tcPr>
            <w:tcW w:w="1180" w:type="dxa"/>
            <w:vAlign w:val="bottom"/>
          </w:tcPr>
          <w:p>
            <w:pPr>
              <w:jc w:val="center"/>
              <w:spacing w:after="0" w:line="171" w:lineRule="exact"/>
              <w:rPr>
                <w:sz w:val="20"/>
                <w:szCs w:val="20"/>
                <w:color w:val="auto"/>
              </w:rPr>
            </w:pPr>
            <w:r>
              <w:rPr>
                <w:rFonts w:ascii="Arial" w:cs="Arial" w:eastAsia="Arial" w:hAnsi="Arial"/>
                <w:sz w:val="17"/>
                <w:szCs w:val="17"/>
                <w:color w:val="auto"/>
                <w:w w:val="93"/>
              </w:rPr>
              <w:t>outstanding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91"/>
              </w:rPr>
              <w:t>exercise</w:t>
            </w:r>
          </w:p>
        </w:tc>
        <w:tc>
          <w:tcPr>
            <w:tcW w:w="1340" w:type="dxa"/>
            <w:vAlign w:val="bottom"/>
          </w:tcPr>
          <w:p>
            <w:pPr>
              <w:jc w:val="center"/>
              <w:ind w:left="33"/>
              <w:spacing w:after="0" w:line="171" w:lineRule="exact"/>
              <w:rPr>
                <w:sz w:val="20"/>
                <w:szCs w:val="20"/>
                <w:color w:val="auto"/>
              </w:rPr>
            </w:pPr>
            <w:r>
              <w:rPr>
                <w:rFonts w:ascii="Arial" w:cs="Arial" w:eastAsia="Arial" w:hAnsi="Arial"/>
                <w:sz w:val="17"/>
                <w:szCs w:val="17"/>
                <w:color w:val="auto"/>
                <w:w w:val="93"/>
              </w:rPr>
              <w:t>contractual</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jc w:val="center"/>
              <w:spacing w:after="0" w:line="171" w:lineRule="exact"/>
              <w:rPr>
                <w:sz w:val="20"/>
                <w:szCs w:val="20"/>
                <w:color w:val="auto"/>
              </w:rPr>
            </w:pPr>
            <w:r>
              <w:rPr>
                <w:rFonts w:ascii="Arial" w:cs="Arial" w:eastAsia="Arial" w:hAnsi="Arial"/>
                <w:sz w:val="17"/>
                <w:szCs w:val="17"/>
                <w:color w:val="auto"/>
                <w:w w:val="93"/>
              </w:rPr>
              <w:t>Plan</w:t>
            </w:r>
          </w:p>
        </w:tc>
        <w:tc>
          <w:tcPr>
            <w:tcW w:w="26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91"/>
              </w:rPr>
              <w:t>grant date</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89"/>
              </w:rPr>
              <w:t>under the</w:t>
            </w:r>
          </w:p>
        </w:tc>
        <w:tc>
          <w:tcPr>
            <w:tcW w:w="1180" w:type="dxa"/>
            <w:vAlign w:val="bottom"/>
          </w:tcPr>
          <w:p>
            <w:pPr>
              <w:jc w:val="center"/>
              <w:spacing w:after="0" w:line="171" w:lineRule="exact"/>
              <w:rPr>
                <w:sz w:val="20"/>
                <w:szCs w:val="20"/>
                <w:color w:val="auto"/>
              </w:rPr>
            </w:pPr>
            <w:r>
              <w:rPr>
                <w:rFonts w:ascii="Arial" w:cs="Arial" w:eastAsia="Arial" w:hAnsi="Arial"/>
                <w:sz w:val="17"/>
                <w:szCs w:val="17"/>
                <w:color w:val="auto"/>
                <w:w w:val="91"/>
              </w:rPr>
              <w:t>under the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92"/>
              </w:rPr>
              <w:t>price</w:t>
            </w:r>
          </w:p>
        </w:tc>
        <w:tc>
          <w:tcPr>
            <w:tcW w:w="1340" w:type="dxa"/>
            <w:vAlign w:val="bottom"/>
          </w:tcPr>
          <w:p>
            <w:pPr>
              <w:jc w:val="center"/>
              <w:ind w:left="13"/>
              <w:spacing w:after="0" w:line="171" w:lineRule="exact"/>
              <w:rPr>
                <w:sz w:val="20"/>
                <w:szCs w:val="20"/>
                <w:color w:val="auto"/>
              </w:rPr>
            </w:pPr>
            <w:r>
              <w:rPr>
                <w:rFonts w:ascii="Arial" w:cs="Arial" w:eastAsia="Arial" w:hAnsi="Arial"/>
                <w:sz w:val="17"/>
                <w:szCs w:val="17"/>
                <w:color w:val="auto"/>
                <w:w w:val="93"/>
              </w:rPr>
              <w:t>term</w:t>
            </w:r>
          </w:p>
        </w:tc>
        <w:tc>
          <w:tcPr>
            <w:tcW w:w="140" w:type="dxa"/>
            <w:vAlign w:val="bottom"/>
          </w:tcPr>
          <w:p>
            <w:pPr>
              <w:spacing w:after="0"/>
              <w:rPr>
                <w:sz w:val="14"/>
                <w:szCs w:val="14"/>
                <w:color w:val="auto"/>
              </w:rPr>
            </w:pPr>
          </w:p>
        </w:tc>
        <w:tc>
          <w:tcPr>
            <w:tcW w:w="900" w:type="dxa"/>
            <w:vAlign w:val="bottom"/>
          </w:tcPr>
          <w:p>
            <w:pPr>
              <w:jc w:val="center"/>
              <w:ind w:right="73"/>
              <w:spacing w:after="0" w:line="171" w:lineRule="exact"/>
              <w:rPr>
                <w:sz w:val="20"/>
                <w:szCs w:val="20"/>
                <w:color w:val="auto"/>
              </w:rPr>
            </w:pPr>
            <w:r>
              <w:rPr>
                <w:rFonts w:ascii="Arial" w:cs="Arial" w:eastAsia="Arial" w:hAnsi="Arial"/>
                <w:sz w:val="17"/>
                <w:szCs w:val="17"/>
                <w:color w:val="auto"/>
                <w:w w:val="98"/>
              </w:rPr>
              <w:t>Intrinsic</w:t>
            </w:r>
          </w:p>
        </w:tc>
        <w:tc>
          <w:tcPr>
            <w:tcW w:w="1160" w:type="dxa"/>
            <w:vAlign w:val="bottom"/>
          </w:tcPr>
          <w:p>
            <w:pPr>
              <w:jc w:val="center"/>
              <w:spacing w:after="0" w:line="171" w:lineRule="exact"/>
              <w:rPr>
                <w:sz w:val="20"/>
                <w:szCs w:val="20"/>
                <w:color w:val="auto"/>
              </w:rPr>
            </w:pPr>
            <w:r>
              <w:rPr>
                <w:rFonts w:ascii="Arial" w:cs="Arial" w:eastAsia="Arial" w:hAnsi="Arial"/>
                <w:sz w:val="17"/>
                <w:szCs w:val="17"/>
                <w:color w:val="auto"/>
                <w:w w:val="86"/>
              </w:rPr>
              <w:t>shares</w:t>
            </w:r>
          </w:p>
        </w:tc>
        <w:tc>
          <w:tcPr>
            <w:tcW w:w="26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Plans</w:t>
            </w:r>
          </w:p>
        </w:tc>
        <w:tc>
          <w:tcPr>
            <w:tcW w:w="1180" w:type="dxa"/>
            <w:vAlign w:val="bottom"/>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33"/>
              <w:spacing w:after="0"/>
              <w:rPr>
                <w:sz w:val="20"/>
                <w:szCs w:val="20"/>
                <w:color w:val="auto"/>
              </w:rPr>
            </w:pPr>
            <w:r>
              <w:rPr>
                <w:rFonts w:ascii="Arial" w:cs="Arial" w:eastAsia="Arial" w:hAnsi="Arial"/>
                <w:sz w:val="17"/>
                <w:szCs w:val="17"/>
                <w:color w:val="auto"/>
                <w:w w:val="89"/>
              </w:rPr>
              <w:t>per share</w:t>
            </w:r>
          </w:p>
        </w:tc>
        <w:tc>
          <w:tcPr>
            <w:tcW w:w="1340" w:type="dxa"/>
            <w:vAlign w:val="bottom"/>
          </w:tcPr>
          <w:p>
            <w:pPr>
              <w:jc w:val="center"/>
              <w:ind w:left="13"/>
              <w:spacing w:after="0"/>
              <w:rPr>
                <w:sz w:val="20"/>
                <w:szCs w:val="20"/>
                <w:color w:val="auto"/>
              </w:rPr>
            </w:pPr>
            <w:r>
              <w:rPr>
                <w:rFonts w:ascii="Arial" w:cs="Arial" w:eastAsia="Arial" w:hAnsi="Arial"/>
                <w:sz w:val="17"/>
                <w:szCs w:val="17"/>
                <w:color w:val="auto"/>
                <w:w w:val="94"/>
              </w:rPr>
              <w:t>(In years)</w:t>
            </w:r>
          </w:p>
        </w:tc>
        <w:tc>
          <w:tcPr>
            <w:tcW w:w="140" w:type="dxa"/>
            <w:vAlign w:val="bottom"/>
          </w:tcPr>
          <w:p>
            <w:pPr>
              <w:spacing w:after="0"/>
              <w:rPr>
                <w:sz w:val="19"/>
                <w:szCs w:val="19"/>
                <w:color w:val="auto"/>
              </w:rPr>
            </w:pPr>
          </w:p>
        </w:tc>
        <w:tc>
          <w:tcPr>
            <w:tcW w:w="900" w:type="dxa"/>
            <w:vAlign w:val="bottom"/>
          </w:tcPr>
          <w:p>
            <w:pPr>
              <w:jc w:val="center"/>
              <w:ind w:right="53"/>
              <w:spacing w:after="0"/>
              <w:rPr>
                <w:sz w:val="20"/>
                <w:szCs w:val="20"/>
                <w:color w:val="auto"/>
              </w:rPr>
            </w:pPr>
            <w:r>
              <w:rPr>
                <w:rFonts w:ascii="Arial" w:cs="Arial" w:eastAsia="Arial" w:hAnsi="Arial"/>
                <w:sz w:val="17"/>
                <w:szCs w:val="17"/>
                <w:color w:val="auto"/>
                <w:w w:val="91"/>
              </w:rPr>
              <w:t>Value</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outstanding</w:t>
            </w:r>
          </w:p>
        </w:tc>
        <w:tc>
          <w:tcPr>
            <w:tcW w:w="260" w:type="dxa"/>
            <w:vAlign w:val="bottom"/>
          </w:tcPr>
          <w:p>
            <w:pPr>
              <w:spacing w:after="0"/>
              <w:rPr>
                <w:sz w:val="19"/>
                <w:szCs w:val="19"/>
                <w:color w:val="auto"/>
              </w:rPr>
            </w:pPr>
          </w:p>
        </w:tc>
        <w:tc>
          <w:tcPr>
            <w:tcW w:w="960" w:type="dxa"/>
            <w:vAlign w:val="bottom"/>
          </w:tcPr>
          <w:p>
            <w:pPr>
              <w:jc w:val="center"/>
              <w:ind w:right="73"/>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4"/>
              </w:rPr>
              <w:t>Options exercised and restricted stock</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19.57</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units and awards released</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line="172" w:lineRule="exact"/>
              <w:rPr>
                <w:sz w:val="20"/>
                <w:szCs w:val="20"/>
                <w:color w:val="auto"/>
              </w:rPr>
            </w:pPr>
            <w:r>
              <w:rPr>
                <w:rFonts w:ascii="Arial" w:cs="Arial" w:eastAsia="Arial" w:hAnsi="Arial"/>
                <w:sz w:val="17"/>
                <w:szCs w:val="17"/>
                <w:color w:val="auto"/>
                <w:w w:val="95"/>
              </w:rPr>
              <w:t>Options and restricted stock units and</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17.62</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(10.6)</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19.92</w:t>
            </w:r>
          </w:p>
        </w:tc>
        <w:tc>
          <w:tcPr>
            <w:tcW w:w="0" w:type="dxa"/>
            <w:vAlign w:val="bottom"/>
          </w:tcPr>
          <w:p>
            <w:pPr>
              <w:spacing w:after="0"/>
              <w:rPr>
                <w:sz w:val="1"/>
                <w:szCs w:val="1"/>
                <w:color w:val="auto"/>
              </w:rPr>
            </w:pPr>
          </w:p>
        </w:tc>
      </w:tr>
      <w:tr>
        <w:trPr>
          <w:trHeight w:val="222"/>
        </w:trPr>
        <w:tc>
          <w:tcPr>
            <w:tcW w:w="2760" w:type="dxa"/>
            <w:vAlign w:val="bottom"/>
          </w:tcPr>
          <w:p>
            <w:pPr>
              <w:ind w:left="20"/>
              <w:spacing w:after="0"/>
              <w:rPr>
                <w:sz w:val="20"/>
                <w:szCs w:val="20"/>
                <w:color w:val="auto"/>
              </w:rPr>
            </w:pPr>
            <w:r>
              <w:rPr>
                <w:rFonts w:ascii="Arial" w:cs="Arial" w:eastAsia="Arial" w:hAnsi="Arial"/>
                <w:sz w:val="17"/>
                <w:szCs w:val="17"/>
                <w:color w:val="auto"/>
              </w:rPr>
              <w:t>awards canceled</w:t>
            </w: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9"/>
              </w:rPr>
              <w:t>Shares withheld related to net share</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line="172" w:lineRule="exact"/>
              <w:rPr>
                <w:sz w:val="20"/>
                <w:szCs w:val="20"/>
                <w:color w:val="auto"/>
              </w:rPr>
            </w:pPr>
            <w:r>
              <w:rPr>
                <w:rFonts w:ascii="Arial" w:cs="Arial" w:eastAsia="Arial" w:hAnsi="Arial"/>
                <w:sz w:val="17"/>
                <w:szCs w:val="17"/>
                <w:color w:val="auto"/>
                <w:w w:val="95"/>
              </w:rPr>
              <w:t>Options and restricted stock units and</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24.9</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22"/>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awards granted</w:t>
            </w: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shd w:val="clear" w:color="auto" w:fill="CCEEFF"/>
          </w:tcPr>
          <w:p>
            <w:pPr>
              <w:ind w:left="20"/>
              <w:spacing w:after="0" w:line="217" w:lineRule="exact"/>
              <w:rPr>
                <w:sz w:val="20"/>
                <w:szCs w:val="20"/>
                <w:color w:val="auto"/>
              </w:rPr>
            </w:pPr>
            <w:r>
              <w:rPr>
                <w:rFonts w:ascii="Arial" w:cs="Arial" w:eastAsia="Arial" w:hAnsi="Arial"/>
                <w:sz w:val="17"/>
                <w:szCs w:val="17"/>
                <w:color w:val="auto"/>
                <w:w w:val="98"/>
              </w:rPr>
              <w:t>Balance as of December 31, 2020</w:t>
            </w:r>
            <w:r>
              <w:rPr>
                <w:rFonts w:ascii="Arial" w:cs="Arial" w:eastAsia="Arial" w:hAnsi="Arial"/>
                <w:sz w:val="22"/>
                <w:szCs w:val="22"/>
                <w:color w:val="auto"/>
                <w:w w:val="98"/>
                <w:vertAlign w:val="superscript"/>
              </w:rPr>
              <w:t>(2)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60" w:type="dxa"/>
            <w:vAlign w:val="bottom"/>
            <w:vMerge w:val="continue"/>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Stock options assumed </w:t>
            </w:r>
            <w:r>
              <w:rPr>
                <w:rFonts w:ascii="Arial" w:cs="Arial" w:eastAsia="Arial" w:hAnsi="Arial"/>
                <w:sz w:val="22"/>
                <w:szCs w:val="22"/>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line="172" w:lineRule="exact"/>
              <w:rPr>
                <w:sz w:val="20"/>
                <w:szCs w:val="20"/>
                <w:color w:val="auto"/>
              </w:rPr>
            </w:pPr>
            <w:r>
              <w:rPr>
                <w:rFonts w:ascii="Arial" w:cs="Arial" w:eastAsia="Arial" w:hAnsi="Arial"/>
                <w:sz w:val="17"/>
                <w:szCs w:val="17"/>
                <w:color w:val="auto"/>
                <w:w w:val="94"/>
              </w:rPr>
              <w:t>Options exercised and restricted stock</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9.77</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(14.8)</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19.35</w:t>
            </w:r>
          </w:p>
        </w:tc>
        <w:tc>
          <w:tcPr>
            <w:tcW w:w="0" w:type="dxa"/>
            <w:vAlign w:val="bottom"/>
          </w:tcPr>
          <w:p>
            <w:pPr>
              <w:spacing w:after="0"/>
              <w:rPr>
                <w:sz w:val="1"/>
                <w:szCs w:val="1"/>
                <w:color w:val="auto"/>
              </w:rPr>
            </w:pPr>
          </w:p>
        </w:tc>
      </w:tr>
      <w:tr>
        <w:trPr>
          <w:trHeight w:val="222"/>
        </w:trPr>
        <w:tc>
          <w:tcPr>
            <w:tcW w:w="2760" w:type="dxa"/>
            <w:vAlign w:val="bottom"/>
          </w:tcPr>
          <w:p>
            <w:pPr>
              <w:ind w:left="20"/>
              <w:spacing w:after="0"/>
              <w:rPr>
                <w:sz w:val="20"/>
                <w:szCs w:val="20"/>
                <w:color w:val="auto"/>
              </w:rPr>
            </w:pPr>
            <w:r>
              <w:rPr>
                <w:rFonts w:ascii="Arial" w:cs="Arial" w:eastAsia="Arial" w:hAnsi="Arial"/>
                <w:sz w:val="17"/>
                <w:szCs w:val="17"/>
                <w:color w:val="auto"/>
              </w:rPr>
              <w:t>units and awards released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5"/>
              </w:rPr>
              <w:t>Options and restricted stock units and</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awards canceled</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line="172" w:lineRule="exact"/>
              <w:rPr>
                <w:sz w:val="20"/>
                <w:szCs w:val="20"/>
                <w:color w:val="auto"/>
              </w:rPr>
            </w:pPr>
            <w:r>
              <w:rPr>
                <w:rFonts w:ascii="Arial" w:cs="Arial" w:eastAsia="Arial" w:hAnsi="Arial"/>
                <w:sz w:val="17"/>
                <w:szCs w:val="17"/>
                <w:color w:val="auto"/>
                <w:w w:val="99"/>
              </w:rPr>
              <w:t>Shares withheld related to net share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line="171" w:lineRule="exact"/>
              <w:rPr>
                <w:sz w:val="20"/>
                <w:szCs w:val="20"/>
                <w:color w:val="auto"/>
              </w:rPr>
            </w:pPr>
            <w:r>
              <w:rPr>
                <w:rFonts w:ascii="Arial" w:cs="Arial" w:eastAsia="Arial" w:hAnsi="Arial"/>
                <w:sz w:val="17"/>
                <w:szCs w:val="17"/>
                <w:color w:val="auto"/>
                <w:w w:val="93"/>
              </w:rPr>
              <w:t>settlement of restricted stock units and</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20.71</w:t>
            </w:r>
          </w:p>
        </w:tc>
        <w:tc>
          <w:tcPr>
            <w:tcW w:w="0" w:type="dxa"/>
            <w:vAlign w:val="bottom"/>
          </w:tcPr>
          <w:p>
            <w:pPr>
              <w:spacing w:after="0"/>
              <w:rPr>
                <w:sz w:val="1"/>
                <w:szCs w:val="1"/>
                <w:color w:val="auto"/>
              </w:rPr>
            </w:pPr>
          </w:p>
        </w:tc>
      </w:tr>
      <w:tr>
        <w:trPr>
          <w:trHeight w:val="222"/>
        </w:trPr>
        <w:tc>
          <w:tcPr>
            <w:tcW w:w="2760" w:type="dxa"/>
            <w:vAlign w:val="bottom"/>
          </w:tcPr>
          <w:p>
            <w:pPr>
              <w:ind w:left="20"/>
              <w:spacing w:after="0"/>
              <w:rPr>
                <w:sz w:val="20"/>
                <w:szCs w:val="20"/>
                <w:color w:val="auto"/>
              </w:rPr>
            </w:pPr>
            <w:r>
              <w:rPr>
                <w:rFonts w:ascii="Arial" w:cs="Arial" w:eastAsia="Arial" w:hAnsi="Arial"/>
                <w:sz w:val="17"/>
                <w:szCs w:val="17"/>
                <w:color w:val="auto"/>
              </w:rPr>
              <w:t>awards</w:t>
            </w: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5"/>
              </w:rPr>
              <w:t>Options and restricted stock units and</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awards granted</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line="216" w:lineRule="exact"/>
              <w:rPr>
                <w:sz w:val="20"/>
                <w:szCs w:val="20"/>
                <w:color w:val="auto"/>
              </w:rPr>
            </w:pPr>
            <w:r>
              <w:rPr>
                <w:rFonts w:ascii="Arial" w:cs="Arial" w:eastAsia="Arial" w:hAnsi="Arial"/>
                <w:sz w:val="17"/>
                <w:szCs w:val="17"/>
                <w:color w:val="auto"/>
                <w:w w:val="98"/>
              </w:rPr>
              <w:t>Balance as of December 31, 2021</w:t>
            </w:r>
            <w:r>
              <w:rPr>
                <w:rFonts w:ascii="Arial" w:cs="Arial" w:eastAsia="Arial" w:hAnsi="Arial"/>
                <w:sz w:val="22"/>
                <w:szCs w:val="22"/>
                <w:color w:val="auto"/>
                <w:w w:val="98"/>
                <w:vertAlign w:val="superscript"/>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12.09</w:t>
            </w:r>
          </w:p>
        </w:tc>
        <w:tc>
          <w:tcPr>
            <w:tcW w:w="1340" w:type="dxa"/>
            <w:vAlign w:val="bottom"/>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29.18</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at December 31, 2021</w:t>
            </w: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Unvested at December 31, 2021</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3.33</w:t>
            </w:r>
          </w:p>
        </w:tc>
        <w:tc>
          <w:tcPr>
            <w:tcW w:w="1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29.18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00" w:firstLine="5"/>
        <w:spacing w:after="0" w:line="547" w:lineRule="auto"/>
        <w:tabs>
          <w:tab w:leader="none" w:pos="161"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This amount includes an immaterial amount of unvested RSUs that were assumed as part of the acquisition of DocSend. The RSUs had a weighted-average grant date fair value of $26.86 per share and a total fair value of $0.4 million, all of which will be recognized as post-combination stock-based compensation expense.</w:t>
      </w:r>
    </w:p>
    <w:p>
      <w:pPr>
        <w:ind w:left="160" w:hanging="155"/>
        <w:spacing w:after="0"/>
        <w:tabs>
          <w:tab w:leader="none" w:pos="16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This amount excludes restricted stock awards granted with service and market based vesting conditions.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years ended December 31, 2021 and 2020:</w:t>
      </w:r>
    </w:p>
    <w:p>
      <w:pPr>
        <w:spacing w:after="0" w:line="395" w:lineRule="exact"/>
        <w:rPr>
          <w:sz w:val="20"/>
          <w:szCs w:val="20"/>
          <w:color w:val="auto"/>
        </w:rPr>
      </w:pPr>
    </w:p>
    <w:p>
      <w:pPr>
        <w:jc w:val="center"/>
        <w:ind w:left="3660"/>
        <w:spacing w:after="0"/>
        <w:rPr>
          <w:sz w:val="20"/>
          <w:szCs w:val="20"/>
          <w:color w:val="auto"/>
        </w:rPr>
      </w:pPr>
      <w:r>
        <w:rPr>
          <w:rFonts w:ascii="Arial" w:cs="Arial" w:eastAsia="Arial" w:hAnsi="Arial"/>
          <w:sz w:val="17"/>
          <w:szCs w:val="17"/>
          <w:b w:val="1"/>
          <w:bCs w:val="1"/>
          <w:color w:val="auto"/>
        </w:rPr>
        <w:t>Year ended</w:t>
      </w:r>
    </w:p>
    <w:p>
      <w:pPr>
        <w:jc w:val="center"/>
        <w:ind w:left="366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8255</wp:posOffset>
            </wp:positionV>
            <wp:extent cx="15405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p>
      <w:pPr>
        <w:spacing w:after="0" w:line="1" w:lineRule="exact"/>
        <w:rPr>
          <w:sz w:val="20"/>
          <w:szCs w:val="20"/>
          <w:color w:val="auto"/>
        </w:rPr>
      </w:pPr>
    </w:p>
    <w:p>
      <w:pPr>
        <w:ind w:left="6660"/>
        <w:spacing w:after="0"/>
        <w:tabs>
          <w:tab w:leader="none" w:pos="790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504180" cy="149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04180" cy="149860"/>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6240" w:val="left"/>
          <w:tab w:leader="none" w:pos="7020" w:val="left"/>
          <w:tab w:leader="none" w:pos="7500" w:val="left"/>
          <w:tab w:leader="none" w:pos="8360" w:val="left"/>
        </w:tabs>
        <w:rPr>
          <w:sz w:val="20"/>
          <w:szCs w:val="20"/>
          <w:color w:val="auto"/>
        </w:rPr>
      </w:pPr>
      <w:r>
        <w:rPr>
          <w:rFonts w:ascii="Arial" w:cs="Arial" w:eastAsia="Arial" w:hAnsi="Arial"/>
          <w:sz w:val="17"/>
          <w:szCs w:val="17"/>
          <w:color w:val="auto"/>
        </w:rPr>
        <w:t>Intrinsic value of options exercised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12.3</w:t>
        <w:tab/>
        <w:t>$</w:t>
      </w:r>
      <w:r>
        <w:rPr>
          <w:sz w:val="20"/>
          <w:szCs w:val="20"/>
          <w:color w:val="auto"/>
        </w:rPr>
        <w:tab/>
      </w:r>
      <w:r>
        <w:rPr>
          <w:rFonts w:ascii="Arial" w:cs="Arial" w:eastAsia="Arial" w:hAnsi="Arial"/>
          <w:sz w:val="15"/>
          <w:szCs w:val="15"/>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As of December 31, 2021, unamortized stock-based compensation related to unvested stock options, restricted stock awards (excluding the Co-Founder Grants), and RSUs was $603.1 million. The weighted-average period over which such compensation expense will be recognized if the requisite service is provided is approximately 2.7 years as of December 31, 2021.</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250" w:lineRule="exact"/>
        <w:rPr>
          <w:sz w:val="20"/>
          <w:szCs w:val="20"/>
          <w:color w:val="auto"/>
        </w:rPr>
      </w:pPr>
    </w:p>
    <w:p>
      <w:pPr>
        <w:ind w:right="380" w:firstLine="433"/>
        <w:spacing w:after="0" w:line="289" w:lineRule="auto"/>
        <w:rPr>
          <w:sz w:val="20"/>
          <w:szCs w:val="20"/>
          <w:color w:val="auto"/>
        </w:rPr>
      </w:pPr>
      <w:r>
        <w:rPr>
          <w:rFonts w:ascii="Arial" w:cs="Arial" w:eastAsia="Arial" w:hAnsi="Arial"/>
          <w:sz w:val="17"/>
          <w:szCs w:val="17"/>
          <w:color w:val="auto"/>
        </w:rPr>
        <w:t>In connection with the acquisition of DocSend the Company assumed 0.9 million unvested stock options which were valued using the Black-Scholes option-pricing model. The fair value of stock options assumed were estimated using the following assumptions:</w:t>
      </w:r>
    </w:p>
    <w:p>
      <w:pPr>
        <w:spacing w:after="0" w:line="394"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5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Expected volatility</w:t>
            </w:r>
          </w:p>
        </w:tc>
        <w:tc>
          <w:tcPr>
            <w:tcW w:w="4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900" w:type="dxa"/>
            <w:vAlign w:val="bottom"/>
          </w:tcPr>
          <w:p>
            <w:pPr>
              <w:ind w:left="440"/>
              <w:spacing w:after="0"/>
              <w:rPr>
                <w:sz w:val="20"/>
                <w:szCs w:val="20"/>
                <w:color w:val="auto"/>
              </w:rPr>
            </w:pPr>
            <w:r>
              <w:rPr>
                <w:rFonts w:ascii="Arial" w:cs="Arial" w:eastAsia="Arial" w:hAnsi="Arial"/>
                <w:sz w:val="17"/>
                <w:szCs w:val="17"/>
                <w:color w:val="auto"/>
              </w:rPr>
              <w:t>Expected term (in years)</w:t>
            </w:r>
          </w:p>
        </w:tc>
        <w:tc>
          <w:tcPr>
            <w:tcW w:w="4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6"/>
              </w:rPr>
              <w:t>2.0 - 6.8</w:t>
            </w:r>
          </w:p>
        </w:tc>
      </w:tr>
      <w:tr>
        <w:trPr>
          <w:trHeight w:val="223"/>
        </w:trPr>
        <w:tc>
          <w:tcPr>
            <w:tcW w:w="5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Risk-free interest rate</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0.15% - 1.29%</w:t>
            </w:r>
          </w:p>
        </w:tc>
      </w:tr>
      <w:tr>
        <w:trPr>
          <w:trHeight w:val="222"/>
        </w:trPr>
        <w:tc>
          <w:tcPr>
            <w:tcW w:w="5900" w:type="dxa"/>
            <w:vAlign w:val="bottom"/>
          </w:tcPr>
          <w:p>
            <w:pPr>
              <w:ind w:left="440"/>
              <w:spacing w:after="0"/>
              <w:rPr>
                <w:sz w:val="20"/>
                <w:szCs w:val="20"/>
                <w:color w:val="auto"/>
              </w:rPr>
            </w:pPr>
            <w:r>
              <w:rPr>
                <w:rFonts w:ascii="Arial" w:cs="Arial" w:eastAsia="Arial" w:hAnsi="Arial"/>
                <w:sz w:val="17"/>
                <w:szCs w:val="17"/>
                <w:color w:val="auto"/>
              </w:rPr>
              <w:t>Dividend yield</w:t>
            </w:r>
          </w:p>
        </w:tc>
        <w:tc>
          <w:tcPr>
            <w:tcW w:w="4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03" w:lineRule="exact"/>
        <w:rPr>
          <w:sz w:val="20"/>
          <w:szCs w:val="20"/>
          <w:color w:val="auto"/>
        </w:rPr>
      </w:pPr>
    </w:p>
    <w:p>
      <w:pPr>
        <w:ind w:right="160" w:firstLine="433"/>
        <w:spacing w:after="0" w:line="264"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2" w:lineRule="exact"/>
        <w:rPr>
          <w:sz w:val="20"/>
          <w:szCs w:val="20"/>
          <w:color w:val="auto"/>
        </w:rPr>
      </w:pPr>
    </w:p>
    <w:p>
      <w:pPr>
        <w:ind w:right="160" w:firstLine="433"/>
        <w:spacing w:after="0" w:line="290"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7" w:lineRule="exact"/>
        <w:rPr>
          <w:sz w:val="20"/>
          <w:szCs w:val="20"/>
          <w:color w:val="auto"/>
        </w:rPr>
      </w:pPr>
    </w:p>
    <w:p>
      <w:pPr>
        <w:ind w:right="520" w:firstLine="433"/>
        <w:spacing w:after="0" w:line="289"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8"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In connection with the acquisition of DocSend, the estimated weighted-average grant date fair value for stock options assumed was $25.28 per share and a total fair value of $9.3 million, of which, $8.1 million will be recognized as post-combination stock-based compensation expense.</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Co-Founder Grants</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December 2017, the Board of Directors approved the Company’s Co-Founder Grants, consisting of 14.7 million shares of Class A Common Stock in the aggregate, of which 10.3 million RSAs were granted to Drew Houston, the Company’s co-founder and Chief Executive Officer, and 4.4 million RSAs were granted to Arash Ferdowsi, the Company’s co-founder and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w:t>
      </w:r>
    </w:p>
    <w:p>
      <w:pPr>
        <w:spacing w:after="0" w:line="205" w:lineRule="exact"/>
        <w:rPr>
          <w:sz w:val="20"/>
          <w:szCs w:val="20"/>
          <w:color w:val="auto"/>
        </w:rPr>
      </w:pPr>
    </w:p>
    <w:p>
      <w:pPr>
        <w:ind w:right="340" w:firstLine="433"/>
        <w:spacing w:after="0" w:line="268"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2"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March 2020, one of the Company's co-founders, Mr. Ferdowsi, resigned as a member of the Board of Directors and as an officer of the Company. As of</w:t>
      </w:r>
    </w:p>
    <w:p>
      <w:pPr>
        <w:spacing w:after="0" w:line="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date of Mr. Ferdowsi’s resignation, none of the Stock Price Targets had been met, resulting in the forfeiture of all of his 4.4 million RSAs. As he did not provide the requisite service associated with the Co-Founder Grants, the Company reversed all stock-based compensation expense that had been recognized from the grant date through March 19, 2020, which totaled $23.8 million, of which $21.5 million related to expense recognized prior to December 31, 2019, and ceased recognizing further expense related to the award.</w:t>
      </w:r>
    </w:p>
    <w:p>
      <w:pPr>
        <w:spacing w:after="0" w:line="198" w:lineRule="exact"/>
        <w:rPr>
          <w:sz w:val="20"/>
          <w:szCs w:val="20"/>
          <w:color w:val="auto"/>
        </w:rPr>
      </w:pPr>
    </w:p>
    <w:p>
      <w:pPr>
        <w:ind w:firstLine="433"/>
        <w:spacing w:after="0" w:line="266" w:lineRule="auto"/>
        <w:rPr>
          <w:sz w:val="20"/>
          <w:szCs w:val="20"/>
          <w:color w:val="auto"/>
        </w:rPr>
      </w:pPr>
      <w:r>
        <w:rPr>
          <w:rFonts w:ascii="Arial" w:cs="Arial" w:eastAsia="Arial" w:hAnsi="Arial"/>
          <w:sz w:val="15"/>
          <w:szCs w:val="15"/>
          <w:color w:val="auto"/>
        </w:rPr>
        <w:t>The first tranche of Mr. Houston's Co-Founder Grant, or 2.1 million shares of Class A common stock, vested in the fourth quarter of 2021. The stock-based compensation expense for Mr. Houston's Co-Founder Grant is recognized utilizing the accelerated attribution method, and therefore no incremental stock-based compensation was recognized. From time to time, directors, officers, and employees of the Company enter into 10b5-1 plans. Mr. Houston adopted a 10b5-1 plan in June 2021, pursuant to which a portion of the shares issued upon achievement of the performance targets under his Co-Founder Award (the "vested shares") were sold to satisfy income taxes related to the vesting of the Co-Founder Award and, as the Company’s share price was below the share price established in Mr. Houston's 10b5-1 plan, the remainder of the vested shares were not sold. If the Company’s share price reaches or exceeds the share price established in Mr. Houston's 10b5-1 plan prior to the date on which the term of such 10b5-1 plan expires, the remainder of the vested shares will be sold.</w:t>
      </w:r>
    </w:p>
    <w:p>
      <w:pPr>
        <w:spacing w:after="0" w:line="196"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Company recognized stock-based compensation expense related to the Co-Founder Grants of $14.6 million and $23.4 million during the years ended December 31, 2021 and December 31, 2020, respectively. The amount of stock-based compensation expense related to the Co-Founder Grants for the year ended December 31, 2020 does not include the reversal of $23.8 million in expense for Mr. Ferdowsi's grant. Unamortized stock-based compensation expense related to the Co-Founder Grants was $21.1 million for the year ended 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(Loss) Per Share</w:t>
      </w:r>
    </w:p>
    <w:p>
      <w:pPr>
        <w:spacing w:after="0" w:line="125" w:lineRule="exact"/>
        <w:rPr>
          <w:sz w:val="20"/>
          <w:szCs w:val="20"/>
          <w:color w:val="auto"/>
        </w:rPr>
      </w:pPr>
    </w:p>
    <w:p>
      <w:pPr>
        <w:ind w:right="180" w:firstLine="433"/>
        <w:spacing w:after="0" w:line="298" w:lineRule="auto"/>
        <w:rPr>
          <w:sz w:val="20"/>
          <w:szCs w:val="20"/>
          <w:color w:val="auto"/>
        </w:rPr>
      </w:pPr>
      <w:r>
        <w:rPr>
          <w:rFonts w:ascii="Arial" w:cs="Arial" w:eastAsia="Arial" w:hAnsi="Arial"/>
          <w:sz w:val="16"/>
          <w:szCs w:val="16"/>
          <w:color w:val="auto"/>
        </w:rPr>
        <w:t>The Company computes net income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0" w:lineRule="exact"/>
        <w:rPr>
          <w:sz w:val="20"/>
          <w:szCs w:val="20"/>
          <w:color w:val="auto"/>
        </w:rPr>
      </w:pPr>
    </w:p>
    <w:p>
      <w:pPr>
        <w:ind w:right="280" w:firstLine="433"/>
        <w:spacing w:after="0" w:line="289" w:lineRule="auto"/>
        <w:rPr>
          <w:sz w:val="20"/>
          <w:szCs w:val="20"/>
          <w:color w:val="auto"/>
        </w:rPr>
      </w:pPr>
      <w:r>
        <w:rPr>
          <w:rFonts w:ascii="Arial" w:cs="Arial" w:eastAsia="Arial" w:hAnsi="Arial"/>
          <w:sz w:val="17"/>
          <w:szCs w:val="17"/>
          <w:color w:val="auto"/>
        </w:rPr>
        <w:t>Basic net income per share is computed by dividing net income attributable to common stockholders by the weighted-average number of shares of the Class A and Class B common stock outstanding.</w:t>
      </w:r>
    </w:p>
    <w:p>
      <w:pPr>
        <w:spacing w:after="0" w:line="185" w:lineRule="exact"/>
        <w:rPr>
          <w:sz w:val="20"/>
          <w:szCs w:val="20"/>
          <w:color w:val="auto"/>
        </w:rPr>
      </w:pPr>
    </w:p>
    <w:p>
      <w:pPr>
        <w:ind w:right="80" w:firstLine="393"/>
        <w:spacing w:after="0" w:line="286" w:lineRule="auto"/>
        <w:rPr>
          <w:sz w:val="20"/>
          <w:szCs w:val="20"/>
          <w:color w:val="auto"/>
        </w:rPr>
      </w:pPr>
      <w:r>
        <w:rPr>
          <w:rFonts w:ascii="Arial" w:cs="Arial" w:eastAsia="Arial" w:hAnsi="Arial"/>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our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89" w:lineRule="exact"/>
        <w:rPr>
          <w:sz w:val="20"/>
          <w:szCs w:val="20"/>
          <w:color w:val="auto"/>
        </w:rPr>
      </w:pPr>
    </w:p>
    <w:p>
      <w:pPr>
        <w:ind w:right="160" w:firstLine="393"/>
        <w:spacing w:after="0" w:line="289" w:lineRule="auto"/>
        <w:rPr>
          <w:sz w:val="20"/>
          <w:szCs w:val="20"/>
          <w:color w:val="auto"/>
        </w:rPr>
      </w:pPr>
      <w:r>
        <w:rPr>
          <w:rFonts w:ascii="Arial" w:cs="Arial" w:eastAsia="Arial" w:hAnsi="Arial"/>
          <w:sz w:val="17"/>
          <w:szCs w:val="17"/>
          <w:color w:val="auto"/>
        </w:rPr>
        <w:t>The numerators and denominators of the basic and diluted EPS computations for our common stock are calculated as follows (in millions, except for per share amounts):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280" w:type="dxa"/>
            <w:vAlign w:val="bottom"/>
          </w:tcPr>
          <w:p>
            <w:pPr>
              <w:spacing w:after="0"/>
              <w:rPr>
                <w:sz w:val="18"/>
                <w:szCs w:val="18"/>
                <w:color w:val="auto"/>
              </w:rPr>
            </w:pPr>
          </w:p>
        </w:tc>
        <w:tc>
          <w:tcPr>
            <w:tcW w:w="1140" w:type="dxa"/>
            <w:vAlign w:val="bottom"/>
          </w:tcPr>
          <w:p>
            <w:pPr>
              <w:jc w:val="right"/>
              <w:ind w:right="35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203"/>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Weighted-average number of common shares outstanding used in computing basic net income per share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0.87</w:t>
            </w:r>
          </w:p>
        </w:tc>
        <w:tc>
          <w:tcPr>
            <w:tcW w:w="120" w:type="dxa"/>
            <w:vAlign w:val="bottom"/>
          </w:tcPr>
          <w:p>
            <w:pPr>
              <w:spacing w:after="0"/>
              <w:rPr>
                <w:sz w:val="16"/>
                <w:szCs w:val="16"/>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0.87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Reallocation of net income as a result of conversion of Class B to Class A common stock</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71.9</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335.8</w:t>
            </w:r>
          </w:p>
        </w:tc>
        <w:tc>
          <w:tcPr>
            <w:tcW w:w="120" w:type="dxa"/>
            <w:vAlign w:val="bottom"/>
          </w:tcPr>
          <w:p>
            <w:pPr>
              <w:spacing w:after="0"/>
              <w:rPr>
                <w:sz w:val="16"/>
                <w:szCs w:val="16"/>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Weighted-average number of common shares outstanding used in computing basic net income per share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Weighted-average effect of dilutive restricted stock units and awards and employee stock options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Weighted-average number of common shares outstanding used in computing diluted net income per share</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0.85</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right="280"/>
        <w:spacing w:after="0" w:line="360" w:lineRule="auto"/>
        <w:rPr>
          <w:sz w:val="20"/>
          <w:szCs w:val="20"/>
          <w:color w:val="auto"/>
        </w:rPr>
      </w:pPr>
      <w:r>
        <w:rPr>
          <w:rFonts w:ascii="Arial" w:cs="Arial" w:eastAsia="Arial" w:hAnsi="Arial"/>
          <w:sz w:val="15"/>
          <w:szCs w:val="15"/>
          <w:color w:val="auto"/>
        </w:rPr>
        <w:t>The following table sets forth the calculation of basic and diluted net loss per share attributable to common stockholders during the periods presented. The voluntary conversions of Class B common stock into Class A common stock are included in the table below weighted for the respective periods outstanding.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Year ended December 31,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auto"/>
              </w:rPr>
              <w:t>Class A</w:t>
            </w:r>
          </w:p>
        </w:tc>
        <w:tc>
          <w:tcPr>
            <w:tcW w:w="14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auto"/>
              </w:rPr>
              <w:t>Class B</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auto"/>
              </w:rPr>
              <w:t>Class A</w:t>
            </w:r>
          </w:p>
        </w:tc>
        <w:tc>
          <w:tcPr>
            <w:tcW w:w="22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7"/>
                <w:szCs w:val="17"/>
                <w:color w:val="auto"/>
                <w:w w:val="98"/>
              </w:rPr>
              <w:t>Class B</w:t>
            </w:r>
          </w:p>
        </w:tc>
        <w:tc>
          <w:tcPr>
            <w:tcW w:w="0" w:type="dxa"/>
            <w:vAlign w:val="bottom"/>
          </w:tcPr>
          <w:p>
            <w:pPr>
              <w:spacing w:after="0"/>
              <w:rPr>
                <w:sz w:val="1"/>
                <w:szCs w:val="1"/>
                <w:color w:val="auto"/>
              </w:rPr>
            </w:pPr>
          </w:p>
        </w:tc>
      </w:tr>
      <w:tr>
        <w:trPr>
          <w:trHeight w:val="33"/>
        </w:trPr>
        <w:tc>
          <w:tcPr>
            <w:tcW w:w="68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Denominator:</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line="172" w:lineRule="exact"/>
              <w:rPr>
                <w:sz w:val="20"/>
                <w:szCs w:val="20"/>
                <w:color w:val="auto"/>
              </w:rPr>
            </w:pPr>
            <w:r>
              <w:rPr>
                <w:rFonts w:ascii="Arial" w:cs="Arial" w:eastAsia="Arial" w:hAnsi="Arial"/>
                <w:sz w:val="17"/>
                <w:szCs w:val="17"/>
                <w:color w:val="auto"/>
                <w:w w:val="94"/>
              </w:rPr>
              <w:t>Weighted-average number of common shares outstanding used in computing basic and diluted</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295.0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236.8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196"/>
        </w:trPr>
        <w:tc>
          <w:tcPr>
            <w:tcW w:w="6800" w:type="dxa"/>
            <w:vAlign w:val="bottom"/>
          </w:tcPr>
          <w:p>
            <w:pPr>
              <w:ind w:left="20"/>
              <w:spacing w:after="0"/>
              <w:rPr>
                <w:sz w:val="20"/>
                <w:szCs w:val="20"/>
                <w:color w:val="auto"/>
              </w:rPr>
            </w:pPr>
            <w:r>
              <w:rPr>
                <w:rFonts w:ascii="Arial" w:cs="Arial" w:eastAsia="Arial" w:hAnsi="Arial"/>
                <w:sz w:val="17"/>
                <w:szCs w:val="17"/>
                <w:color w:val="auto"/>
              </w:rPr>
              <w:t>net loss per common share</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bl>
    <w:p>
      <w:pPr>
        <w:spacing w:after="0" w:line="39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Since the Company was in a loss position for the years ended December 31, 2020 and 2019, basic net loss per share attributable to common stockholders is the same as diluted net loss per share for all periods as the inclusion of all potential common shares outstanding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40" w:firstLine="433"/>
        <w:spacing w:after="0" w:line="289"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74" w:lineRule="exact"/>
        <w:rPr>
          <w:sz w:val="20"/>
          <w:szCs w:val="20"/>
          <w:color w:val="auto"/>
        </w:rPr>
      </w:pPr>
    </w:p>
    <w:p>
      <w:pPr>
        <w:ind w:left="754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2019</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and awards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56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Co-Founder Grants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7"/>
                <w:szCs w:val="17"/>
                <w:color w:val="auto"/>
              </w:rPr>
              <w:t>Convertible Senior Notes</w:t>
            </w:r>
          </w:p>
        </w:tc>
        <w:tc>
          <w:tcPr>
            <w:tcW w:w="560" w:type="dxa"/>
            <w:vAlign w:val="bottom"/>
          </w:tcPr>
          <w:p>
            <w:pPr>
              <w:jc w:val="right"/>
              <w:spacing w:after="0"/>
              <w:rPr>
                <w:sz w:val="20"/>
                <w:szCs w:val="20"/>
                <w:color w:val="auto"/>
              </w:rPr>
            </w:pPr>
            <w:r>
              <w:rPr>
                <w:rFonts w:ascii="Arial" w:cs="Arial" w:eastAsia="Arial" w:hAnsi="Arial"/>
                <w:sz w:val="17"/>
                <w:szCs w:val="17"/>
                <w:color w:val="auto"/>
              </w:rPr>
              <w:t>31.9</w:t>
            </w:r>
          </w:p>
        </w:tc>
        <w:tc>
          <w:tcPr>
            <w:tcW w:w="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720" w:type="dxa"/>
            <w:vAlign w:val="bottom"/>
          </w:tcPr>
          <w:p>
            <w:pPr>
              <w:ind w:left="20"/>
              <w:spacing w:after="0"/>
              <w:rPr>
                <w:sz w:val="20"/>
                <w:szCs w:val="20"/>
                <w:color w:val="auto"/>
              </w:rPr>
            </w:pPr>
            <w:r>
              <w:rPr>
                <w:rFonts w:ascii="Arial" w:cs="Arial" w:eastAsia="Arial" w:hAnsi="Arial"/>
                <w:sz w:val="17"/>
                <w:szCs w:val="17"/>
                <w:color w:val="auto"/>
              </w:rPr>
              <w:t>Total</w:t>
            </w:r>
          </w:p>
        </w:tc>
        <w:tc>
          <w:tcPr>
            <w:tcW w:w="1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75.6</w:t>
            </w:r>
          </w:p>
        </w:tc>
        <w:tc>
          <w:tcPr>
            <w:tcW w:w="8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w:t>
            </w:r>
          </w:p>
        </w:tc>
      </w:tr>
      <w:tr>
        <w:trPr>
          <w:trHeight w:val="20"/>
        </w:trPr>
        <w:tc>
          <w:tcPr>
            <w:tcW w:w="5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125"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For the years ended December 31, 2021, 2020, and 2019, the Company’s income (loss) from continuing operations before provision for income taxes was as follows: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793"/>
              <w:spacing w:after="0"/>
              <w:rPr>
                <w:sz w:val="20"/>
                <w:szCs w:val="20"/>
                <w:color w:val="auto"/>
              </w:rPr>
            </w:pPr>
            <w:r>
              <w:rPr>
                <w:rFonts w:ascii="Arial" w:cs="Arial" w:eastAsia="Arial" w:hAnsi="Arial"/>
                <w:sz w:val="17"/>
                <w:szCs w:val="17"/>
                <w:color w:val="auto"/>
                <w:w w:val="94"/>
              </w:rPr>
              <w:t>(98.8)</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13"/>
              <w:spacing w:after="0"/>
              <w:rPr>
                <w:sz w:val="20"/>
                <w:szCs w:val="20"/>
                <w:color w:val="auto"/>
              </w:rPr>
            </w:pPr>
            <w:r>
              <w:rPr>
                <w:rFonts w:ascii="Arial" w:cs="Arial" w:eastAsia="Arial" w:hAnsi="Arial"/>
                <w:sz w:val="17"/>
                <w:szCs w:val="17"/>
                <w:color w:val="auto"/>
                <w:w w:val="96"/>
              </w:rPr>
              <w:t>46.8</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793"/>
              <w:spacing w:after="0"/>
              <w:rPr>
                <w:sz w:val="20"/>
                <w:szCs w:val="20"/>
                <w:color w:val="auto"/>
              </w:rPr>
            </w:pPr>
            <w:r>
              <w:rPr>
                <w:rFonts w:ascii="Arial" w:cs="Arial" w:eastAsia="Arial" w:hAnsi="Arial"/>
                <w:sz w:val="17"/>
                <w:szCs w:val="17"/>
                <w:color w:val="auto"/>
                <w:w w:val="94"/>
              </w:rPr>
              <w:t>(52.0)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the benefit from (provision for) income taxes in the years ended December 31, 2021, 2020, and 2019, were as follows:</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Federal</w:t>
            </w:r>
          </w:p>
        </w:tc>
        <w:tc>
          <w:tcPr>
            <w:tcW w:w="1200" w:type="dxa"/>
            <w:vAlign w:val="bottom"/>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(0.4)</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Pr>
          <w:p>
            <w:pPr>
              <w:jc w:val="center"/>
              <w:ind w:left="913"/>
              <w:spacing w:after="0"/>
              <w:rPr>
                <w:sz w:val="20"/>
                <w:szCs w:val="20"/>
                <w:color w:val="auto"/>
              </w:rPr>
            </w:pPr>
            <w:r>
              <w:rPr>
                <w:rFonts w:ascii="Arial" w:cs="Arial" w:eastAsia="Arial" w:hAnsi="Arial"/>
                <w:sz w:val="17"/>
                <w:szCs w:val="17"/>
                <w:color w:val="auto"/>
                <w:w w:val="92"/>
              </w:rPr>
              <w:t>0.1</w:t>
            </w:r>
          </w:p>
        </w:tc>
      </w:tr>
      <w:tr>
        <w:trPr>
          <w:trHeight w:val="223"/>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73"/>
              <w:spacing w:after="0"/>
              <w:rPr>
                <w:sz w:val="20"/>
                <w:szCs w:val="20"/>
                <w:color w:val="auto"/>
              </w:rPr>
            </w:pPr>
            <w:r>
              <w:rPr>
                <w:rFonts w:ascii="Arial" w:cs="Arial" w:eastAsia="Arial" w:hAnsi="Arial"/>
                <w:sz w:val="17"/>
                <w:szCs w:val="17"/>
                <w:color w:val="auto"/>
                <w:w w:val="97"/>
              </w:rPr>
              <w:t>(0.6)</w:t>
            </w: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Foreign</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center"/>
              <w:ind w:left="873"/>
              <w:spacing w:after="0"/>
              <w:rPr>
                <w:sz w:val="20"/>
                <w:szCs w:val="20"/>
                <w:color w:val="auto"/>
              </w:rPr>
            </w:pPr>
            <w:r>
              <w:rPr>
                <w:rFonts w:ascii="Arial" w:cs="Arial" w:eastAsia="Arial" w:hAnsi="Arial"/>
                <w:sz w:val="17"/>
                <w:szCs w:val="17"/>
                <w:color w:val="auto"/>
                <w:w w:val="97"/>
              </w:rPr>
              <w:t>(7.7)</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Federal</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40" w:type="dxa"/>
            <w:vAlign w:val="bottom"/>
          </w:tcPr>
          <w:p>
            <w:pPr>
              <w:jc w:val="center"/>
              <w:ind w:left="913"/>
              <w:spacing w:after="0"/>
              <w:rPr>
                <w:sz w:val="20"/>
                <w:szCs w:val="20"/>
                <w:color w:val="auto"/>
              </w:rPr>
            </w:pPr>
            <w:r>
              <w:rPr>
                <w:rFonts w:ascii="Arial" w:cs="Arial" w:eastAsia="Arial" w:hAnsi="Arial"/>
                <w:sz w:val="17"/>
                <w:szCs w:val="17"/>
                <w:color w:val="auto"/>
                <w:w w:val="92"/>
              </w:rPr>
              <w:t>6.6</w:t>
            </w:r>
          </w:p>
        </w:tc>
      </w:tr>
      <w:tr>
        <w:trPr>
          <w:trHeight w:val="223"/>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92"/>
              </w:rPr>
              <w:t>0.6</w:t>
            </w:r>
          </w:p>
        </w:tc>
      </w:tr>
      <w:tr>
        <w:trPr>
          <w:trHeight w:val="223"/>
        </w:trPr>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13"/>
              <w:spacing w:after="0"/>
              <w:rPr>
                <w:sz w:val="20"/>
                <w:szCs w:val="20"/>
                <w:color w:val="auto"/>
              </w:rPr>
            </w:pPr>
            <w:r>
              <w:rPr>
                <w:rFonts w:ascii="Arial" w:cs="Arial" w:eastAsia="Arial" w:hAnsi="Arial"/>
                <w:sz w:val="17"/>
                <w:szCs w:val="17"/>
                <w:color w:val="auto"/>
                <w:w w:val="92"/>
              </w:rPr>
              <w:t>0.3</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873"/>
              <w:spacing w:after="0"/>
              <w:rPr>
                <w:sz w:val="20"/>
                <w:szCs w:val="20"/>
                <w:color w:val="auto"/>
              </w:rPr>
            </w:pPr>
            <w:r>
              <w:rPr>
                <w:rFonts w:ascii="Arial" w:cs="Arial" w:eastAsia="Arial" w:hAnsi="Arial"/>
                <w:sz w:val="17"/>
                <w:szCs w:val="17"/>
                <w:color w:val="auto"/>
                <w:w w:val="97"/>
              </w:rPr>
              <w:t>(0.7)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540" w:firstLine="165"/>
        <w:spacing w:after="0" w:line="289" w:lineRule="auto"/>
        <w:rPr>
          <w:sz w:val="20"/>
          <w:szCs w:val="20"/>
          <w:color w:val="auto"/>
        </w:rPr>
      </w:pPr>
      <w:r>
        <w:rPr>
          <w:rFonts w:ascii="Arial" w:cs="Arial" w:eastAsia="Arial" w:hAnsi="Arial"/>
          <w:sz w:val="17"/>
          <w:szCs w:val="17"/>
          <w:color w:val="auto"/>
        </w:rPr>
        <w:t>A reconciliation of income taxes at the statutory federal income tax rate to the benefit from (provision for) income taxes included in the accompanying consolidated statements of operations is as follows: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(provision) benefit at federal statutory rate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rate differential</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Research and other credits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Non-deductible compensation</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Meals &amp; entertainment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Permanent differences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non-deductible items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significant components of the Company’s deferred tax assets and liabilities as of December 31, 2021 and 2020 were as follows:</w:t>
      </w: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72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3"/>
              </w:rPr>
              <w:t>As of December 31,</w:t>
            </w:r>
          </w:p>
        </w:tc>
        <w:tc>
          <w:tcPr>
            <w:tcW w:w="1160" w:type="dxa"/>
            <w:vAlign w:val="bottom"/>
            <w:tcBorders>
              <w:bottom w:val="single" w:sz="8" w:color="auto"/>
            </w:tcBorders>
          </w:tcPr>
          <w:p>
            <w:pPr>
              <w:spacing w:after="0"/>
              <w:rPr>
                <w:sz w:val="19"/>
                <w:szCs w:val="19"/>
                <w:color w:val="auto"/>
              </w:rPr>
            </w:pPr>
          </w:p>
        </w:tc>
      </w:tr>
      <w:tr>
        <w:trPr>
          <w:trHeight w:val="216"/>
        </w:trPr>
        <w:tc>
          <w:tcPr>
            <w:tcW w:w="72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7"/>
                <w:szCs w:val="17"/>
                <w:b w:val="1"/>
                <w:bCs w:val="1"/>
                <w:color w:val="auto"/>
                <w:w w:val="95"/>
              </w:rPr>
              <w:t>2020</w:t>
            </w: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230.3</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credit carryforwards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Stock-based compensation</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Accruals and reserves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Lease liability</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168.4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208.1</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Convertible senior notes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Other</w:t>
            </w:r>
          </w:p>
        </w:tc>
        <w:tc>
          <w:tcPr>
            <w:tcW w:w="1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deferred tax assets</w:t>
            </w:r>
          </w:p>
        </w:tc>
        <w:tc>
          <w:tcPr>
            <w:tcW w:w="1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729.2</w:t>
            </w:r>
          </w:p>
        </w:tc>
      </w:tr>
      <w:tr>
        <w:trPr>
          <w:trHeight w:val="223"/>
        </w:trPr>
        <w:tc>
          <w:tcPr>
            <w:tcW w:w="7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Valuation allowance</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(583.7)</w:t>
            </w:r>
          </w:p>
        </w:tc>
      </w:tr>
      <w:tr>
        <w:trPr>
          <w:trHeight w:val="216"/>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deferred tax assets, net of valuation allowance</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w:t>
            </w:r>
          </w:p>
        </w:tc>
      </w:tr>
      <w:tr>
        <w:trPr>
          <w:trHeight w:val="223"/>
        </w:trPr>
        <w:tc>
          <w:tcPr>
            <w:tcW w:w="72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assets and intangible assets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Right-of-use assets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135.4</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6"/>
        </w:trPr>
        <w:tc>
          <w:tcPr>
            <w:tcW w:w="7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deferred tax liability</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141.5</w:t>
            </w:r>
          </w:p>
        </w:tc>
      </w:tr>
      <w:tr>
        <w:trPr>
          <w:trHeight w:val="241"/>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40" w:firstLine="433"/>
        <w:spacing w:after="0" w:line="290" w:lineRule="auto"/>
        <w:rPr>
          <w:sz w:val="20"/>
          <w:szCs w:val="20"/>
          <w:color w:val="auto"/>
        </w:rPr>
      </w:pPr>
      <w:r>
        <w:rPr>
          <w:rFonts w:ascii="Arial" w:cs="Arial" w:eastAsia="Arial" w:hAnsi="Arial"/>
          <w:sz w:val="16"/>
          <w:szCs w:val="16"/>
          <w:color w:val="auto"/>
        </w:rPr>
        <w:t>For the years ended December 31, 2021 and 2020, based on all available objective evidence, including the existence of cumulative losses, the Company determined that it was unlikely that the U.S. and Israel net deferred tax assets were fully realizable as of December 31, 2021 and 2020. Accordingly, the Company established a full valuation allowance against its U.S. deferred tax assets and a partial valuation allowance against its Israeli deferred tax assets totaling $586.7 million, if recognized, $57.1 million of the U.S. valuation allowance would be recorded to additional paid in capital.</w:t>
      </w:r>
    </w:p>
    <w:p>
      <w:pPr>
        <w:spacing w:after="0" w:line="160"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color w:val="auto"/>
        </w:rPr>
        <w:t>The Company recognized an income tax benefit of $38.1 million due to the release of the valuation allowance on the Irish deferred tax assets for the year ended December 31, 2021. These Irish deferred tax assets were created primarily as a result of net operating loss carryforwards from the Company's historical Irish subsidiary business operations. Management applied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judgment in assessing the positive and negative evidence available in the determination of the amount of deferred tax assets that were more-likely-than-not to be realized in the future.</w:t>
      </w:r>
    </w:p>
    <w:p>
      <w:pPr>
        <w:spacing w:after="0" w:line="159" w:lineRule="exact"/>
        <w:rPr>
          <w:sz w:val="20"/>
          <w:szCs w:val="20"/>
          <w:color w:val="auto"/>
        </w:rPr>
      </w:pPr>
    </w:p>
    <w:p>
      <w:pPr>
        <w:ind w:right="140" w:firstLine="393"/>
        <w:spacing w:after="0" w:line="265" w:lineRule="auto"/>
        <w:rPr>
          <w:sz w:val="20"/>
          <w:szCs w:val="20"/>
          <w:color w:val="auto"/>
        </w:rPr>
      </w:pPr>
      <w:r>
        <w:rPr>
          <w:rFonts w:ascii="Arial" w:cs="Arial" w:eastAsia="Arial" w:hAnsi="Arial"/>
          <w:sz w:val="17"/>
          <w:szCs w:val="17"/>
          <w:color w:val="auto"/>
        </w:rPr>
        <w:t>Given the Company’s recent history of U.S. earnings, management believes that there is a reasonable possibility that, within the next twelve months, sufficient positive evidence may become available to allow management to reach a conclusion that a significant portion of the valuation allowance recorded against the deferred tax assets held by the U.S.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180" w:lineRule="exact"/>
        <w:rPr>
          <w:sz w:val="20"/>
          <w:szCs w:val="20"/>
          <w:color w:val="auto"/>
        </w:rPr>
      </w:pPr>
    </w:p>
    <w:p>
      <w:pPr>
        <w:ind w:right="220" w:firstLine="433"/>
        <w:spacing w:after="0" w:line="268" w:lineRule="auto"/>
        <w:rPr>
          <w:sz w:val="20"/>
          <w:szCs w:val="20"/>
          <w:color w:val="auto"/>
        </w:rPr>
      </w:pPr>
      <w:r>
        <w:rPr>
          <w:rFonts w:ascii="Arial" w:cs="Arial" w:eastAsia="Arial" w:hAnsi="Arial"/>
          <w:sz w:val="17"/>
          <w:szCs w:val="17"/>
          <w:color w:val="auto"/>
        </w:rPr>
        <w:t>As of December 31, 2021, the Company had $623.8 million of federal, $352.1 million of state, and $310.1 million of foreign net operating loss carryforwards available to reduce future taxable income. Of the federal net operating loss carryforwards, $5.1 million will begin to expire in 2032 and $618.7 million will carryforward indefinitely, while state net operating losses begin to expire in 2029. The foreign net operating loss carryforwards will carryforward indefinitely.</w:t>
      </w:r>
    </w:p>
    <w:p>
      <w:pPr>
        <w:spacing w:after="0" w:line="176"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As of December 31, 2021, the Company had research credit carryforwards of $246.1 million and $130.0 million for federal and state income tax purposes, respectively, of which $61.7 million and $33.7 million is the unrecognized tax benefit portion related to the research credit carryforwards for federal and state, respectively. The federal credit carryforward will begin to expire in 2031. The state research credits have no expiration date.</w:t>
      </w:r>
    </w:p>
    <w:p>
      <w:pPr>
        <w:spacing w:after="0" w:line="172"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As of December 31, 2021, the Company had $0.6 million of foreign tax credit carryforwards, which will carryforward indefinitely. The Company also had $3.6 million of state enterprise zone credit carryforwards, which will begin to expire in 2023.</w:t>
      </w:r>
    </w:p>
    <w:p>
      <w:pPr>
        <w:spacing w:after="0" w:line="15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w:t>
      </w:r>
    </w:p>
    <w:p>
      <w:pPr>
        <w:spacing w:after="0" w:line="185"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As of December 31, 2021, the balance of unrecognized tax benefits was $107.3 million of which $11.9 million, if recognized, would affect the effective tax rate and $95.4 million would result in adjustment to deferred tax assets with corresponding adjustments to the valuation allowance.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reconciliation of the beginning and ending amount of unrecognized tax benefit is as follows:</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253"/>
              <w:spacing w:after="0"/>
              <w:rPr>
                <w:sz w:val="20"/>
                <w:szCs w:val="20"/>
                <w:color w:val="auto"/>
              </w:rPr>
            </w:pPr>
            <w:r>
              <w:rPr>
                <w:rFonts w:ascii="Arial" w:cs="Arial" w:eastAsia="Arial" w:hAnsi="Arial"/>
                <w:sz w:val="17"/>
                <w:szCs w:val="17"/>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r>
      <w:tr>
        <w:trPr>
          <w:trHeight w:val="216"/>
        </w:trPr>
        <w:tc>
          <w:tcPr>
            <w:tcW w:w="6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2019</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of gross unrecognized tax benefits at the beginning of the fiscal year</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r>
      <w:tr>
        <w:trPr>
          <w:trHeight w:val="223"/>
        </w:trPr>
        <w:tc>
          <w:tcPr>
            <w:tcW w:w="6080" w:type="dxa"/>
            <w:vAlign w:val="bottom"/>
          </w:tcPr>
          <w:p>
            <w:pPr>
              <w:ind w:left="20"/>
              <w:spacing w:after="0"/>
              <w:rPr>
                <w:sz w:val="20"/>
                <w:szCs w:val="20"/>
                <w:color w:val="auto"/>
              </w:rPr>
            </w:pPr>
            <w:r>
              <w:rPr>
                <w:rFonts w:ascii="Arial" w:cs="Arial" w:eastAsia="Arial" w:hAnsi="Arial"/>
                <w:sz w:val="17"/>
                <w:szCs w:val="17"/>
                <w:color w:val="auto"/>
              </w:rPr>
              <w:t>Gross increases related to prior period tax positions</w:t>
            </w:r>
          </w:p>
        </w:tc>
        <w:tc>
          <w:tcPr>
            <w:tcW w:w="10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decreases related to prior period tax positions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080" w:type="dxa"/>
            <w:vAlign w:val="bottom"/>
          </w:tcPr>
          <w:p>
            <w:pPr>
              <w:ind w:left="20"/>
              <w:spacing w:after="0"/>
              <w:rPr>
                <w:sz w:val="20"/>
                <w:szCs w:val="20"/>
                <w:color w:val="auto"/>
              </w:rPr>
            </w:pPr>
            <w:r>
              <w:rPr>
                <w:rFonts w:ascii="Arial" w:cs="Arial" w:eastAsia="Arial" w:hAnsi="Arial"/>
                <w:sz w:val="17"/>
                <w:szCs w:val="17"/>
                <w:color w:val="auto"/>
              </w:rPr>
              <w:t>Gross increases related to current period tax positions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due to lapse in statute of limitations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080" w:type="dxa"/>
            <w:vAlign w:val="bottom"/>
          </w:tcPr>
          <w:p>
            <w:pPr>
              <w:ind w:left="20"/>
              <w:spacing w:after="0"/>
              <w:rPr>
                <w:sz w:val="20"/>
                <w:szCs w:val="20"/>
                <w:color w:val="auto"/>
              </w:rPr>
            </w:pPr>
            <w:r>
              <w:rPr>
                <w:rFonts w:ascii="Arial" w:cs="Arial" w:eastAsia="Arial" w:hAnsi="Arial"/>
                <w:sz w:val="17"/>
                <w:szCs w:val="17"/>
                <w:color w:val="auto"/>
              </w:rPr>
              <w:t>Reductions due to settlements with taxing authorities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of gross unrecognized tax benefits at the end of the fiscal year</w:t>
            </w: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The Company recognizes interest and/or penalties related to income tax matters as a component of income tax expense. As of December 31, 2021, the amount of accrued interest and penalties related to uncertain tax positions was $3.7 million. Interest and penalties recognized for the year ended December 31, 2021, 2020, and 2019 was $0.4 million, $0.7 million, and $1.3 million, respectively.</w:t>
      </w:r>
    </w:p>
    <w:p>
      <w:pPr>
        <w:spacing w:after="0" w:line="172" w:lineRule="exact"/>
        <w:rPr>
          <w:sz w:val="20"/>
          <w:szCs w:val="20"/>
          <w:color w:val="auto"/>
        </w:rPr>
      </w:pPr>
    </w:p>
    <w:p>
      <w:pPr>
        <w:jc w:val="both"/>
        <w:ind w:right="80" w:firstLine="433"/>
        <w:spacing w:after="0" w:line="273" w:lineRule="auto"/>
        <w:rPr>
          <w:sz w:val="20"/>
          <w:szCs w:val="20"/>
          <w:color w:val="auto"/>
        </w:rPr>
      </w:pPr>
      <w:r>
        <w:rPr>
          <w:rFonts w:ascii="Arial" w:cs="Arial" w:eastAsia="Arial" w:hAnsi="Arial"/>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172"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The Company files income tax returns in the U.S. federal, multiple states, and foreign jurisdictions. All of the Company’s tax years from 2007 remain open for examination by the federal and state authorities, and from 2014 by foreign authorities.</w:t>
      </w:r>
    </w:p>
    <w:p>
      <w:pPr>
        <w:spacing w:after="0" w:line="159"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2021,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Geographic Areas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4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As of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74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w w:val="95"/>
              </w:rPr>
              <w:t>2020</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w:t>
            </w:r>
          </w:p>
        </w:tc>
      </w:tr>
      <w:tr>
        <w:trPr>
          <w:trHeight w:val="223"/>
        </w:trPr>
        <w:tc>
          <w:tcPr>
            <w:tcW w:w="7480" w:type="dxa"/>
            <w:vAlign w:val="bottom"/>
            <w:tcBorders>
              <w:bottom w:val="single" w:sz="8" w:color="CCEEFF"/>
            </w:tcBorders>
          </w:tcPr>
          <w:p>
            <w:pPr>
              <w:spacing w:after="0" w:line="223" w:lineRule="exact"/>
              <w:rPr>
                <w:sz w:val="20"/>
                <w:szCs w:val="20"/>
                <w:color w:val="auto"/>
              </w:rPr>
            </w:pPr>
            <w:r>
              <w:rPr>
                <w:rFonts w:ascii="Arial" w:cs="Arial" w:eastAsia="Arial" w:hAnsi="Arial"/>
                <w:sz w:val="17"/>
                <w:szCs w:val="17"/>
                <w:color w:val="auto"/>
              </w:rPr>
              <w:t>International</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property and equipment, net</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60" w:right="520" w:hanging="319"/>
        <w:spacing w:after="0" w:line="225" w:lineRule="auto"/>
        <w:tabs>
          <w:tab w:leader="none" w:pos="548" w:val="left"/>
        </w:tabs>
        <w:numPr>
          <w:ilvl w:val="0"/>
          <w:numId w:val="43"/>
        </w:numPr>
        <w:rPr>
          <w:rFonts w:ascii="Arial" w:cs="Arial" w:eastAsia="Arial" w:hAnsi="Arial"/>
          <w:sz w:val="23"/>
          <w:szCs w:val="23"/>
          <w:color w:val="auto"/>
          <w:vertAlign w:val="superscript"/>
        </w:rPr>
      </w:pPr>
      <w:r>
        <w:rPr>
          <w:rFonts w:ascii="Arial" w:cs="Arial" w:eastAsia="Arial" w:hAnsi="Arial"/>
          <w:sz w:val="17"/>
          <w:szCs w:val="17"/>
          <w:color w:val="auto"/>
        </w:rPr>
        <w:t>No single country other than the United States had a property and equipment balance greater than 10% of total property and equipment, net, as of December 31, 2021 and 2020.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years ended December 31, 2021, 2020, and 2019:</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233"/>
              <w:spacing w:after="0"/>
              <w:rPr>
                <w:sz w:val="20"/>
                <w:szCs w:val="20"/>
                <w:color w:val="auto"/>
              </w:rPr>
            </w:pPr>
            <w:r>
              <w:rPr>
                <w:rFonts w:ascii="Arial" w:cs="Arial" w:eastAsia="Arial" w:hAnsi="Arial"/>
                <w:sz w:val="17"/>
                <w:szCs w:val="17"/>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1,130.0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854.1</w:t>
            </w:r>
          </w:p>
        </w:tc>
      </w:tr>
      <w:tr>
        <w:trPr>
          <w:trHeight w:val="223"/>
        </w:trPr>
        <w:tc>
          <w:tcPr>
            <w:tcW w:w="6160" w:type="dxa"/>
            <w:vAlign w:val="bottom"/>
            <w:tcBorders>
              <w:bottom w:val="single" w:sz="8" w:color="CCEEFF"/>
            </w:tcBorders>
          </w:tcPr>
          <w:p>
            <w:pPr>
              <w:spacing w:after="0" w:line="223" w:lineRule="exact"/>
              <w:rPr>
                <w:sz w:val="20"/>
                <w:szCs w:val="20"/>
                <w:color w:val="auto"/>
              </w:rPr>
            </w:pPr>
            <w:r>
              <w:rPr>
                <w:rFonts w:ascii="Arial" w:cs="Arial" w:eastAsia="Arial" w:hAnsi="Arial"/>
                <w:sz w:val="17"/>
                <w:szCs w:val="17"/>
                <w:color w:val="auto"/>
              </w:rPr>
              <w:t>International</w:t>
            </w:r>
            <w:r>
              <w:rPr>
                <w:rFonts w:ascii="Arial" w:cs="Arial" w:eastAsia="Arial" w:hAnsi="Arial"/>
                <w:sz w:val="22"/>
                <w:szCs w:val="22"/>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807.2</w:t>
            </w:r>
          </w:p>
        </w:tc>
      </w:tr>
      <w:tr>
        <w:trPr>
          <w:trHeight w:val="241"/>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2,157.9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1,661.3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60" w:right="260" w:hanging="319"/>
        <w:spacing w:after="0" w:line="225" w:lineRule="auto"/>
        <w:tabs>
          <w:tab w:leader="none" w:pos="548" w:val="left"/>
        </w:tabs>
        <w:numPr>
          <w:ilvl w:val="0"/>
          <w:numId w:val="44"/>
        </w:numPr>
        <w:rPr>
          <w:rFonts w:ascii="Arial" w:cs="Arial" w:eastAsia="Arial" w:hAnsi="Arial"/>
          <w:sz w:val="23"/>
          <w:szCs w:val="23"/>
          <w:color w:val="auto"/>
          <w:vertAlign w:val="superscript"/>
        </w:rPr>
      </w:pPr>
      <w:r>
        <w:rPr>
          <w:rFonts w:ascii="Arial" w:cs="Arial" w:eastAsia="Arial" w:hAnsi="Arial"/>
          <w:sz w:val="17"/>
          <w:szCs w:val="17"/>
          <w:color w:val="auto"/>
        </w:rPr>
        <w:t>No single country outside of the United States accounted for more than 10 percent of total revenue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Subsequent Events</w:t>
      </w:r>
    </w:p>
    <w:p>
      <w:pPr>
        <w:spacing w:after="0" w:line="178"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On February 11, 2022 the Board of Directors authorized the Company to repurchase up to an additional $1.2 billion of the Company’s outstanding shares of Class A common stock under our previously announced stock repurchase program. The Company is authorized to repurchase, from time-to-time, shares of its outstanding common stock through open market purchases or in privately negotiated transactions, in accordance with applicable rules and regulations, at such time and such prices as management may decide. The program does not obligate the Company to repurchase any specific number of shares and may be discontinued at any time.</w:t>
      </w:r>
    </w:p>
    <w:p>
      <w:pPr>
        <w:spacing w:after="0" w:line="200" w:lineRule="exact"/>
        <w:rPr>
          <w:sz w:val="20"/>
          <w:szCs w:val="20"/>
          <w:color w:val="auto"/>
        </w:rPr>
      </w:pPr>
    </w:p>
    <w:p>
      <w:pPr>
        <w:spacing w:after="0" w:line="240" w:lineRule="exact"/>
        <w:rPr>
          <w:sz w:val="20"/>
          <w:szCs w:val="20"/>
          <w:color w:val="auto"/>
        </w:rPr>
      </w:pPr>
    </w:p>
    <w:p>
      <w:pPr>
        <w:ind w:right="760"/>
        <w:spacing w:after="0" w:line="278" w:lineRule="auto"/>
        <w:rPr>
          <w:sz w:val="20"/>
          <w:szCs w:val="20"/>
          <w:color w:val="auto"/>
        </w:rPr>
      </w:pPr>
      <w:r>
        <w:rPr>
          <w:rFonts w:ascii="Arial" w:cs="Arial" w:eastAsia="Arial" w:hAnsi="Arial"/>
          <w:sz w:val="21"/>
          <w:szCs w:val="21"/>
          <w:b w:val="1"/>
          <w:bCs w:val="1"/>
          <w:color w:val="auto"/>
        </w:rPr>
        <w:t>ITEM 9. CHANGES IN AND DISAGREEMENTS WITH ACCOUNTANTS ON ACCOUNTING AND FINANCIAL DISCLOSURE</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9A.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60" w:firstLine="433"/>
        <w:spacing w:after="0" w:line="29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0"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72" w:lineRule="exact"/>
        <w:rPr>
          <w:sz w:val="20"/>
          <w:szCs w:val="20"/>
          <w:color w:val="auto"/>
        </w:rPr>
      </w:pPr>
    </w:p>
    <w:p>
      <w:pPr>
        <w:ind w:right="100" w:firstLine="433"/>
        <w:spacing w:after="0" w:line="326" w:lineRule="auto"/>
        <w:rPr>
          <w:sz w:val="20"/>
          <w:szCs w:val="20"/>
          <w:color w:val="auto"/>
        </w:rPr>
      </w:pPr>
      <w:r>
        <w:rPr>
          <w:rFonts w:ascii="Arial" w:cs="Arial" w:eastAsia="Arial" w:hAnsi="Arial"/>
          <w:sz w:val="15"/>
          <w:szCs w:val="15"/>
          <w:color w:val="auto"/>
        </w:rPr>
        <w:t>Our management, under the supervision of our Chief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2021.</w:t>
      </w:r>
    </w:p>
    <w:p>
      <w:pPr>
        <w:spacing w:after="0" w:line="136" w:lineRule="exact"/>
        <w:rPr>
          <w:sz w:val="20"/>
          <w:szCs w:val="20"/>
          <w:color w:val="auto"/>
        </w:rPr>
      </w:pPr>
    </w:p>
    <w:p>
      <w:pPr>
        <w:ind w:right="500" w:firstLine="433"/>
        <w:spacing w:after="0" w:line="289" w:lineRule="auto"/>
        <w:rPr>
          <w:sz w:val="20"/>
          <w:szCs w:val="20"/>
          <w:color w:val="auto"/>
        </w:rPr>
      </w:pPr>
      <w:r>
        <w:rPr>
          <w:rFonts w:ascii="Arial" w:cs="Arial" w:eastAsia="Arial" w:hAnsi="Arial"/>
          <w:sz w:val="17"/>
          <w:szCs w:val="17"/>
          <w:color w:val="auto"/>
        </w:rPr>
        <w:t>The effectiveness of our internal control over financial reporting as of December 31, 2021 has been audited by Ernst &amp; Young LLP, an independent registered public accounting firm, as stated in their report, which is included in Item 8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0"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quarter ended December 31, 2021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30" w:lineRule="exact"/>
        <w:rPr>
          <w:sz w:val="20"/>
          <w:szCs w:val="20"/>
          <w:color w:val="auto"/>
        </w:rPr>
      </w:pPr>
    </w:p>
    <w:p>
      <w:pPr>
        <w:ind w:right="20" w:firstLine="433"/>
        <w:spacing w:after="0" w:line="283" w:lineRule="auto"/>
        <w:rPr>
          <w:sz w:val="20"/>
          <w:szCs w:val="20"/>
          <w:color w:val="auto"/>
        </w:rPr>
      </w:pPr>
      <w:r>
        <w:rPr>
          <w:rFonts w:ascii="Arial" w:cs="Arial" w:eastAsia="Arial" w:hAnsi="Arial"/>
          <w:sz w:val="16"/>
          <w:szCs w:val="16"/>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108" w:name="page109"/>
    <w:bookmarkEnd w:id="10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9B. OTHER INFORMATION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9C. DISCLOSURE REGARDING FOREIGN JURISDICTIONS THAT PREVENT INSPECTIONS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III</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 DIRECTORS, EXECUTIVE OFFICERS AND CORPORATE GOVERNANCE</w:t>
      </w:r>
    </w:p>
    <w:p>
      <w:pPr>
        <w:spacing w:after="0" w:line="219"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2022 Meeting of Stockholders. The Proxy Statement will be filed with the Securities and Exchange Commission within 120 days of the end of the fiscal year ended December 31, 2021.</w:t>
      </w: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11. EXECUTIVE COMPENSATION</w:t>
      </w:r>
    </w:p>
    <w:p>
      <w:pPr>
        <w:spacing w:after="0" w:line="219"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2022 Meeting of Stockholders. The Proxy Statement will be filed with the Securities and Exchange Commission within 120 days of the end of the fiscal year ended December 31, 2021.</w:t>
      </w:r>
    </w:p>
    <w:p>
      <w:pPr>
        <w:spacing w:after="0" w:line="265" w:lineRule="exact"/>
        <w:rPr>
          <w:sz w:val="20"/>
          <w:szCs w:val="20"/>
          <w:color w:val="auto"/>
        </w:rPr>
      </w:pPr>
    </w:p>
    <w:p>
      <w:pPr>
        <w:ind w:right="380"/>
        <w:spacing w:after="0" w:line="278" w:lineRule="auto"/>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51"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2022 Meeting of Stockholders. The Proxy Statement will be filed with the Securities and Exchange Commission within 120 days of the end of the fiscal year ended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PARTY TRANSACTIONS, AND DIRECTOR INDEPENDENCE</w:t>
      </w:r>
    </w:p>
    <w:p>
      <w:pPr>
        <w:spacing w:after="0" w:line="219"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2022 Meeting of Stockholders. The Proxy Statement will be filed with the Securities and Exchange Commission within 120 days of the end of the fiscal year ended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PRINCIPAL ACCOUNTING FEES AND SERVICES</w:t>
      </w:r>
    </w:p>
    <w:p>
      <w:pPr>
        <w:spacing w:after="0" w:line="219"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2022 Meeting of Stockholders. The Proxy Statement will be filed with the Securities and Exchange Commission within 120 days of the end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9" w:right="43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IV</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3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documents are filed as a part of this Annual Report on Form 10-K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Financial statements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Consolidated Financial Statements are listed in the “Index to Consolidated Financial Statements” under Part II, Item 8 of this Annual Report on Form</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3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 Financial statement schedules.</w:t>
      </w:r>
    </w:p>
    <w:p>
      <w:pPr>
        <w:spacing w:after="0" w:line="119" w:lineRule="exact"/>
        <w:rPr>
          <w:sz w:val="20"/>
          <w:szCs w:val="20"/>
          <w:color w:val="auto"/>
        </w:rPr>
      </w:pPr>
    </w:p>
    <w:p>
      <w:pPr>
        <w:ind w:right="780" w:firstLine="433"/>
        <w:spacing w:after="0" w:line="289" w:lineRule="auto"/>
        <w:rPr>
          <w:sz w:val="20"/>
          <w:szCs w:val="20"/>
          <w:color w:val="auto"/>
        </w:rPr>
      </w:pPr>
      <w:r>
        <w:rPr>
          <w:rFonts w:ascii="Arial" w:cs="Arial" w:eastAsia="Arial" w:hAnsi="Arial"/>
          <w:sz w:val="17"/>
          <w:szCs w:val="17"/>
          <w:color w:val="auto"/>
        </w:rPr>
        <w:t>All financial statement schedules not listed above have been omitted because the information called for is not required or is shown either in the consolidated financial statements or in the notes thereto.</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  Exhibits</w:t>
      </w:r>
    </w:p>
    <w:p>
      <w:pPr>
        <w:spacing w:after="0" w:line="119"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EXHIBIT INDEX</w:t>
      </w:r>
    </w:p>
    <w:p>
      <w:pPr>
        <w:spacing w:after="0" w:line="299" w:lineRule="exact"/>
        <w:rPr>
          <w:sz w:val="20"/>
          <w:szCs w:val="20"/>
          <w:color w:val="auto"/>
        </w:rPr>
      </w:pPr>
    </w:p>
    <w:p>
      <w:pPr>
        <w:jc w:val="both"/>
        <w:ind w:left="6320"/>
        <w:spacing w:after="0"/>
        <w:tabs>
          <w:tab w:leader="none" w:pos="7240" w:val="left"/>
          <w:tab w:leader="none" w:pos="8580" w:val="left"/>
          <w:tab w:leader="none" w:pos="982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Filed with SEC</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720" w:type="dxa"/>
            <w:vAlign w:val="bottom"/>
          </w:tcPr>
          <w:p>
            <w:pPr>
              <w:jc w:val="center"/>
              <w:ind w:right="1150"/>
              <w:spacing w:after="0"/>
              <w:rPr>
                <w:sz w:val="20"/>
                <w:szCs w:val="20"/>
                <w:color w:val="auto"/>
              </w:rPr>
            </w:pPr>
            <w:r>
              <w:rPr>
                <w:rFonts w:ascii="Arial" w:cs="Arial" w:eastAsia="Arial" w:hAnsi="Arial"/>
                <w:sz w:val="14"/>
                <w:szCs w:val="14"/>
                <w:b w:val="1"/>
                <w:bCs w:val="1"/>
                <w:color w:val="auto"/>
                <w:w w:val="98"/>
              </w:rPr>
              <w:t>Exhibit</w:t>
            </w:r>
          </w:p>
        </w:tc>
        <w:tc>
          <w:tcPr>
            <w:tcW w:w="1920" w:type="dxa"/>
            <w:vAlign w:val="bottom"/>
            <w:vMerge w:val="restart"/>
          </w:tcPr>
          <w:p>
            <w:pPr>
              <w:ind w:left="12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3"/>
        </w:trPr>
        <w:tc>
          <w:tcPr>
            <w:tcW w:w="1720" w:type="dxa"/>
            <w:vAlign w:val="bottom"/>
          </w:tcPr>
          <w:p>
            <w:pPr>
              <w:jc w:val="center"/>
              <w:ind w:right="1150"/>
              <w:spacing w:after="0"/>
              <w:rPr>
                <w:sz w:val="20"/>
                <w:szCs w:val="20"/>
                <w:color w:val="auto"/>
              </w:rPr>
            </w:pPr>
            <w:r>
              <w:rPr>
                <w:rFonts w:ascii="Arial" w:cs="Arial" w:eastAsia="Arial" w:hAnsi="Arial"/>
                <w:sz w:val="14"/>
                <w:szCs w:val="14"/>
                <w:b w:val="1"/>
                <w:bCs w:val="1"/>
                <w:color w:val="auto"/>
                <w:w w:val="94"/>
              </w:rPr>
              <w:t>Number</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635</wp:posOffset>
            </wp:positionV>
            <wp:extent cx="31559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ectPr>
          <w:pgSz w:w="11900" w:h="16838" w:orient="portrait"/>
          <w:cols w:equalWidth="0" w:num="1">
            <w:col w:w="10880"/>
          </w:cols>
          <w:pgMar w:left="320" w:top="129" w:right="699" w:bottom="1440" w:gutter="0" w:footer="0" w:header="0"/>
        </w:sect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3.1</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3.2</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4.5</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4.6</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4.7</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4.8</w:t>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10.1+</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10.2+</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10.3+</w:t>
      </w: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10.4+</w:t>
      </w: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10.5+</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Amended and Restated Certificate of Incorporation of the Registrant.</w:t>
        </w:r>
      </w:hyperlink>
    </w:p>
    <w:p>
      <w:pPr>
        <w:spacing w:after="0" w:line="288" w:lineRule="exact"/>
        <w:rPr>
          <w:sz w:val="20"/>
          <w:szCs w:val="20"/>
          <w:color w:val="auto"/>
        </w:rPr>
      </w:pPr>
    </w:p>
    <w:p>
      <w:pPr>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Amended and Restated Bylaws of the Registrant.</w:t>
        </w:r>
      </w:hyperlink>
    </w:p>
    <w:p>
      <w:pPr>
        <w:spacing w:after="0" w:line="288" w:lineRule="exact"/>
        <w:rPr>
          <w:sz w:val="20"/>
          <w:szCs w:val="20"/>
          <w:color w:val="auto"/>
        </w:rPr>
      </w:pPr>
    </w:p>
    <w:p>
      <w:pPr>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Form of Class A common stock certificate of the Registrant.</w:t>
        </w:r>
      </w:hyperlink>
    </w:p>
    <w:p>
      <w:pPr>
        <w:spacing w:after="0" w:line="288" w:lineRule="exact"/>
        <w:rPr>
          <w:sz w:val="20"/>
          <w:szCs w:val="20"/>
          <w:color w:val="auto"/>
        </w:rPr>
      </w:pPr>
    </w:p>
    <w:p>
      <w:pPr>
        <w:ind w:right="220"/>
        <w:spacing w:after="0" w:line="223" w:lineRule="auto"/>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Amended and Restated Investors’ Rights Agreement among the Registrant</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and certain holders of its capital stock, dated as of January 30, 2014, as</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amended.</w:t>
        </w:r>
      </w:hyperlink>
    </w:p>
    <w:p>
      <w:pPr>
        <w:spacing w:after="0" w:line="274" w:lineRule="exact"/>
        <w:rPr>
          <w:rFonts w:ascii="Arial" w:cs="Arial" w:eastAsia="Arial" w:hAnsi="Arial"/>
          <w:sz w:val="16"/>
          <w:szCs w:val="16"/>
          <w:u w:val="single" w:color="auto"/>
          <w:color w:val="0000FF"/>
        </w:rPr>
      </w:pPr>
    </w:p>
    <w:p>
      <w:pPr>
        <w:spacing w:after="0" w:line="223" w:lineRule="auto"/>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Amendment No. 2 to the Amended and Restated Investors’ Rights Agreement</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among the Registrant and certain holders of its capital stock, dated as of</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March 27, 2018.</w:t>
        </w:r>
      </w:hyperlink>
    </w:p>
    <w:p>
      <w:pPr>
        <w:spacing w:after="0" w:line="274" w:lineRule="exact"/>
        <w:rPr>
          <w:rFonts w:ascii="Arial" w:cs="Arial" w:eastAsia="Arial" w:hAnsi="Arial"/>
          <w:sz w:val="16"/>
          <w:szCs w:val="16"/>
          <w:u w:val="single" w:color="auto"/>
          <w:color w:val="0000FF"/>
        </w:rPr>
      </w:pPr>
    </w:p>
    <w:p>
      <w:pPr>
        <w:ind w:right="220"/>
        <w:spacing w:after="0" w:line="233" w:lineRule="auto"/>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Indenture, dated February 26, 2021, between the Registrant and U.S. Bank</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National Association (2026 Notes).</w:t>
        </w:r>
      </w:hyperlink>
    </w:p>
    <w:p>
      <w:pPr>
        <w:spacing w:after="0" w:line="272" w:lineRule="exact"/>
        <w:rPr>
          <w:sz w:val="20"/>
          <w:szCs w:val="20"/>
          <w:color w:val="auto"/>
        </w:rPr>
      </w:pPr>
    </w:p>
    <w:p>
      <w:pPr>
        <w:ind w:right="220"/>
        <w:spacing w:after="0" w:line="233" w:lineRule="auto"/>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Indenture, dated February 26, 2021, between the Registrant and U.S. Bank</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National Association (2028 Notes).</w:t>
        </w:r>
      </w:hyperlink>
    </w:p>
    <w:p>
      <w:pPr>
        <w:spacing w:after="0" w:line="272" w:lineRule="exact"/>
        <w:rPr>
          <w:sz w:val="20"/>
          <w:szCs w:val="20"/>
          <w:color w:val="auto"/>
        </w:rPr>
      </w:pPr>
    </w:p>
    <w:p>
      <w:pPr>
        <w:spacing w:after="0"/>
        <w:rPr>
          <w:rFonts w:ascii="Arial" w:cs="Arial" w:eastAsia="Arial" w:hAnsi="Arial"/>
          <w:sz w:val="15"/>
          <w:szCs w:val="15"/>
          <w:u w:val="single" w:color="auto"/>
          <w:color w:val="0000FF"/>
        </w:rPr>
      </w:pPr>
      <w:hyperlink r:id="rId131">
        <w:r>
          <w:rPr>
            <w:rFonts w:ascii="Arial" w:cs="Arial" w:eastAsia="Arial" w:hAnsi="Arial"/>
            <w:sz w:val="15"/>
            <w:szCs w:val="15"/>
            <w:u w:val="single" w:color="auto"/>
            <w:color w:val="0000FF"/>
          </w:rPr>
          <w:t>Form of 0% Convertible Senior Note due 2026 (included in Exhibit 4.4).</w:t>
        </w:r>
      </w:hyperlink>
    </w:p>
    <w:p>
      <w:pPr>
        <w:spacing w:after="0" w:line="300" w:lineRule="exact"/>
        <w:rPr>
          <w:sz w:val="20"/>
          <w:szCs w:val="20"/>
          <w:color w:val="auto"/>
        </w:rPr>
      </w:pPr>
    </w:p>
    <w:p>
      <w:pPr>
        <w:spacing w:after="0"/>
        <w:rPr>
          <w:rFonts w:ascii="Arial" w:cs="Arial" w:eastAsia="Arial" w:hAnsi="Arial"/>
          <w:sz w:val="15"/>
          <w:szCs w:val="15"/>
          <w:u w:val="single" w:color="auto"/>
          <w:color w:val="0000FF"/>
        </w:rPr>
      </w:pPr>
      <w:hyperlink r:id="rId132">
        <w:r>
          <w:rPr>
            <w:rFonts w:ascii="Arial" w:cs="Arial" w:eastAsia="Arial" w:hAnsi="Arial"/>
            <w:sz w:val="15"/>
            <w:szCs w:val="15"/>
            <w:u w:val="single" w:color="auto"/>
            <w:color w:val="0000FF"/>
          </w:rPr>
          <w:t>Form of 0% Convertible Senior Note due 2028 (included in Exhibit 4.5).</w:t>
        </w:r>
      </w:hyperlink>
    </w:p>
    <w:p>
      <w:pPr>
        <w:spacing w:after="0" w:line="300" w:lineRule="exact"/>
        <w:rPr>
          <w:sz w:val="20"/>
          <w:szCs w:val="20"/>
          <w:color w:val="auto"/>
        </w:rPr>
      </w:pPr>
    </w:p>
    <w:p>
      <w:pPr>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Description of Capital Stock</w:t>
        </w:r>
      </w:hyperlink>
    </w:p>
    <w:p>
      <w:pPr>
        <w:spacing w:after="0" w:line="288" w:lineRule="exact"/>
        <w:rPr>
          <w:sz w:val="20"/>
          <w:szCs w:val="20"/>
          <w:color w:val="auto"/>
        </w:rPr>
      </w:pPr>
    </w:p>
    <w:p>
      <w:pPr>
        <w:ind w:right="180"/>
        <w:spacing w:after="0" w:line="233" w:lineRule="auto"/>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Form of Indemnification Agreement between the Registrant and each of its</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directors and executive officers.</w:t>
        </w:r>
      </w:hyperlink>
    </w:p>
    <w:p>
      <w:pPr>
        <w:spacing w:after="0" w:line="272" w:lineRule="exact"/>
        <w:rPr>
          <w:sz w:val="20"/>
          <w:szCs w:val="20"/>
          <w:color w:val="auto"/>
        </w:rPr>
      </w:pPr>
    </w:p>
    <w:p>
      <w:pPr>
        <w:spacing w:after="0"/>
        <w:rPr>
          <w:rFonts w:ascii="Arial" w:cs="Arial" w:eastAsia="Arial" w:hAnsi="Arial"/>
          <w:sz w:val="15"/>
          <w:szCs w:val="15"/>
          <w:u w:val="single" w:color="auto"/>
          <w:color w:val="0000FF"/>
        </w:rPr>
      </w:pPr>
      <w:hyperlink r:id="rId135">
        <w:r>
          <w:rPr>
            <w:rFonts w:ascii="Arial" w:cs="Arial" w:eastAsia="Arial" w:hAnsi="Arial"/>
            <w:sz w:val="15"/>
            <w:szCs w:val="15"/>
            <w:u w:val="single" w:color="auto"/>
            <w:color w:val="0000FF"/>
          </w:rPr>
          <w:t>Dropbox, Inc. 2018 Equity Incentive Plan and related form agreements.</w:t>
        </w:r>
      </w:hyperlink>
    </w:p>
    <w:p>
      <w:pPr>
        <w:spacing w:after="0" w:line="300" w:lineRule="exact"/>
        <w:rPr>
          <w:sz w:val="20"/>
          <w:szCs w:val="20"/>
          <w:color w:val="auto"/>
        </w:rPr>
      </w:pPr>
    </w:p>
    <w:p>
      <w:pPr>
        <w:ind w:right="600"/>
        <w:spacing w:after="0" w:line="233" w:lineRule="auto"/>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Dropbox, Inc. 2018 Employee Stock Purchase Plan and related form</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agreements.</w:t>
        </w:r>
      </w:hyperlink>
    </w:p>
    <w:p>
      <w:pPr>
        <w:spacing w:after="0" w:line="272" w:lineRule="exact"/>
        <w:rPr>
          <w:sz w:val="20"/>
          <w:szCs w:val="20"/>
          <w:color w:val="auto"/>
        </w:rPr>
      </w:pPr>
    </w:p>
    <w:p>
      <w:pPr>
        <w:ind w:right="740"/>
        <w:spacing w:after="0" w:line="233" w:lineRule="auto"/>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Dropbox, Inc. 2018 Class C Stock Incentive Plan and related form</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agreements.</w:t>
        </w:r>
      </w:hyperlink>
    </w:p>
    <w:p>
      <w:pPr>
        <w:spacing w:after="0" w:line="272" w:lineRule="exact"/>
        <w:rPr>
          <w:sz w:val="20"/>
          <w:szCs w:val="20"/>
          <w:color w:val="auto"/>
        </w:rPr>
      </w:pPr>
    </w:p>
    <w:p>
      <w:pPr>
        <w:ind w:right="80"/>
        <w:spacing w:after="0" w:line="233" w:lineRule="auto"/>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Dropbox, Inc. 2018 Class C Employee Stock Purchase Plan and related form</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agreements.</w:t>
        </w:r>
      </w:hyperlink>
    </w:p>
    <w:p>
      <w:pPr>
        <w:spacing w:after="0" w:line="272" w:lineRule="exact"/>
        <w:rPr>
          <w:sz w:val="20"/>
          <w:szCs w:val="20"/>
          <w:color w:val="auto"/>
        </w:rPr>
      </w:pPr>
    </w:p>
    <w:p>
      <w:pPr>
        <w:spacing w:after="0"/>
        <w:rPr>
          <w:rFonts w:ascii="Arial" w:cs="Arial" w:eastAsia="Arial" w:hAnsi="Arial"/>
          <w:sz w:val="15"/>
          <w:szCs w:val="15"/>
          <w:u w:val="single" w:color="auto"/>
          <w:color w:val="0000FF"/>
        </w:rPr>
      </w:pPr>
      <w:hyperlink r:id="rId139">
        <w:r>
          <w:rPr>
            <w:rFonts w:ascii="Arial" w:cs="Arial" w:eastAsia="Arial" w:hAnsi="Arial"/>
            <w:sz w:val="15"/>
            <w:szCs w:val="15"/>
            <w:u w:val="single" w:color="auto"/>
            <w:color w:val="0000FF"/>
          </w:rPr>
          <w:t>Dropbox, Inc. 2017 Equity Incentive Plan and related form agreements.</w:t>
        </w:r>
      </w:hyperlink>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3.2</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90"/>
              </w:rPr>
              <w:t>May 11, 2018</w:t>
            </w:r>
          </w:p>
        </w:tc>
      </w:tr>
      <w:tr>
        <w:trPr>
          <w:trHeight w:val="472"/>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3.3</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90"/>
              </w:rPr>
              <w:t>May 11, 2018</w:t>
            </w:r>
          </w:p>
        </w:tc>
      </w:tr>
      <w:tr>
        <w:trPr>
          <w:trHeight w:val="472"/>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4.1</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12, 2018</w:t>
            </w:r>
          </w:p>
        </w:tc>
      </w:tr>
      <w:tr>
        <w:trPr>
          <w:trHeight w:val="629"/>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88"/>
              </w:rPr>
              <w:t>S-1</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4.2</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23, 2018</w:t>
            </w:r>
          </w:p>
        </w:tc>
      </w:tr>
      <w:tr>
        <w:trPr>
          <w:trHeight w:val="787"/>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4.3</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90"/>
              </w:rPr>
              <w:t>May 11, 2018</w:t>
            </w:r>
          </w:p>
        </w:tc>
      </w:tr>
      <w:tr>
        <w:trPr>
          <w:trHeight w:val="708"/>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4.1</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26, 2021</w:t>
            </w:r>
          </w:p>
        </w:tc>
      </w:tr>
      <w:tr>
        <w:trPr>
          <w:trHeight w:val="629"/>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4.2</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26, 2021</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4.3</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26, 2021</w:t>
            </w:r>
          </w:p>
        </w:tc>
      </w:tr>
      <w:tr>
        <w:trPr>
          <w:trHeight w:val="472"/>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4.4</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26, 2021</w:t>
            </w:r>
          </w:p>
        </w:tc>
      </w:tr>
      <w:tr>
        <w:trPr>
          <w:trHeight w:val="472"/>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4.1</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August 7, 2020</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88"/>
              </w:rPr>
              <w:t>S-1</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23, 2018</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8"/>
              </w:rPr>
              <w:t>February 19, 2021</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10.3</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21, 2018</w:t>
            </w:r>
          </w:p>
        </w:tc>
      </w:tr>
      <w:tr>
        <w:trPr>
          <w:trHeight w:val="629"/>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10.4</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21, 2018</w:t>
            </w:r>
          </w:p>
        </w:tc>
      </w:tr>
      <w:tr>
        <w:trPr>
          <w:trHeight w:val="629"/>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10.5</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21, 2018</w:t>
            </w:r>
          </w:p>
        </w:tc>
      </w:tr>
      <w:tr>
        <w:trPr>
          <w:trHeight w:val="551"/>
        </w:trPr>
        <w:tc>
          <w:tcPr>
            <w:tcW w:w="660" w:type="dxa"/>
            <w:vAlign w:val="bottom"/>
          </w:tcPr>
          <w:p>
            <w:pPr>
              <w:jc w:val="center"/>
              <w:ind w:right="20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10.6</w:t>
            </w:r>
          </w:p>
        </w:tc>
        <w:tc>
          <w:tcPr>
            <w:tcW w:w="1540" w:type="dxa"/>
            <w:vAlign w:val="bottom"/>
          </w:tcPr>
          <w:p>
            <w:pPr>
              <w:jc w:val="center"/>
              <w:ind w:left="301"/>
              <w:spacing w:after="0"/>
              <w:rPr>
                <w:sz w:val="20"/>
                <w:szCs w:val="20"/>
                <w:color w:val="auto"/>
              </w:rPr>
            </w:pPr>
            <w:r>
              <w:rPr>
                <w:rFonts w:ascii="Arial" w:cs="Arial" w:eastAsia="Arial" w:hAnsi="Arial"/>
                <w:sz w:val="16"/>
                <w:szCs w:val="16"/>
                <w:color w:val="auto"/>
                <w:w w:val="89"/>
              </w:rPr>
              <w:t>March 21, 2018</w:t>
            </w:r>
          </w:p>
        </w:tc>
      </w:tr>
    </w:tbl>
    <w:p>
      <w:pPr>
        <w:spacing w:after="0" w:line="200" w:lineRule="exact"/>
        <w:rPr>
          <w:sz w:val="20"/>
          <w:szCs w:val="20"/>
          <w:color w:val="auto"/>
        </w:rPr>
      </w:pPr>
    </w:p>
    <w:p>
      <w:pPr>
        <w:sectPr>
          <w:pgSz w:w="11900" w:h="16838" w:orient="portrait"/>
          <w:cols w:equalWidth="0" w:num="3">
            <w:col w:w="620" w:space="380"/>
            <w:col w:w="4920" w:space="380"/>
            <w:col w:w="4580"/>
          </w:cols>
          <w:pgMar w:left="320" w:top="129"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320" w:top="129" w:right="699" w:bottom="1440" w:gutter="0" w:footer="0" w:header="0"/>
          <w:type w:val="continuous"/>
        </w:sectPr>
      </w:pPr>
    </w:p>
    <w:bookmarkStart w:id="111" w:name="page112"/>
    <w:bookmarkEnd w:id="1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93"/>
              </w:rPr>
              <w:t>10.7+</w:t>
            </w:r>
          </w:p>
        </w:tc>
        <w:tc>
          <w:tcPr>
            <w:tcW w:w="4580" w:type="dxa"/>
            <w:vAlign w:val="bottom"/>
            <w:tcBorders>
              <w:bottom w:val="single" w:sz="8" w:color="0000FF"/>
            </w:tcBorders>
            <w:gridSpan w:val="20"/>
          </w:tcPr>
          <w:p>
            <w:pPr>
              <w:spacing w:after="0"/>
              <w:rPr>
                <w:rFonts w:ascii="Arial" w:cs="Arial" w:eastAsia="Arial" w:hAnsi="Arial"/>
                <w:sz w:val="16"/>
                <w:szCs w:val="16"/>
                <w:color w:val="0000FF"/>
                <w:w w:val="89"/>
              </w:rPr>
            </w:pPr>
            <w:hyperlink r:id="rId141">
              <w:r>
                <w:rPr>
                  <w:rFonts w:ascii="Arial" w:cs="Arial" w:eastAsia="Arial" w:hAnsi="Arial"/>
                  <w:sz w:val="16"/>
                  <w:szCs w:val="16"/>
                  <w:color w:val="0000FF"/>
                  <w:w w:val="89"/>
                </w:rPr>
                <w:t>Dropbox, Inc. 2008 Equity Incentive Plan, as amended, and related form</w:t>
              </w:r>
            </w:hyperlink>
          </w:p>
        </w:tc>
        <w:tc>
          <w:tcPr>
            <w:tcW w:w="3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900" w:type="dxa"/>
            <w:vAlign w:val="bottom"/>
            <w:gridSpan w:val="25"/>
            <w:vMerge w:val="restart"/>
          </w:tcPr>
          <w:p>
            <w:pPr>
              <w:spacing w:after="0" w:line="138" w:lineRule="exact"/>
              <w:rPr>
                <w:rFonts w:ascii="Arial" w:cs="Arial" w:eastAsia="Arial" w:hAnsi="Arial"/>
                <w:sz w:val="15"/>
                <w:szCs w:val="15"/>
                <w:color w:val="0000FF"/>
              </w:rPr>
            </w:pPr>
            <w:hyperlink r:id="rId141">
              <w:r>
                <w:rPr>
                  <w:rFonts w:ascii="Arial" w:cs="Arial" w:eastAsia="Arial" w:hAnsi="Arial"/>
                  <w:sz w:val="15"/>
                  <w:szCs w:val="15"/>
                  <w:color w:val="0000FF"/>
                </w:rPr>
                <w:t>agreements.</w:t>
              </w:r>
            </w:hyperlink>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900" w:type="dxa"/>
            <w:vAlign w:val="bottom"/>
            <w:gridSpan w:val="2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10.8+</w:t>
            </w:r>
          </w:p>
        </w:tc>
        <w:tc>
          <w:tcPr>
            <w:tcW w:w="3560" w:type="dxa"/>
            <w:vAlign w:val="bottom"/>
            <w:tcBorders>
              <w:bottom w:val="single" w:sz="8" w:color="0000FF"/>
            </w:tcBorders>
            <w:gridSpan w:val="11"/>
          </w:tcPr>
          <w:p>
            <w:pPr>
              <w:spacing w:after="0"/>
              <w:rPr>
                <w:rFonts w:ascii="Arial" w:cs="Arial" w:eastAsia="Arial" w:hAnsi="Arial"/>
                <w:sz w:val="16"/>
                <w:szCs w:val="16"/>
                <w:color w:val="0000FF"/>
                <w:w w:val="88"/>
              </w:rPr>
            </w:pPr>
            <w:hyperlink r:id="rId142">
              <w:r>
                <w:rPr>
                  <w:rFonts w:ascii="Arial" w:cs="Arial" w:eastAsia="Arial" w:hAnsi="Arial"/>
                  <w:sz w:val="16"/>
                  <w:szCs w:val="16"/>
                  <w:color w:val="0000FF"/>
                  <w:w w:val="88"/>
                </w:rPr>
                <w:t>Dropbox, Inc. Amended and Restated Cash Bonus Plan.</w:t>
              </w:r>
            </w:hyperlink>
          </w:p>
        </w:tc>
        <w:tc>
          <w:tcPr>
            <w:tcW w:w="1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10.9+</w:t>
            </w:r>
          </w:p>
        </w:tc>
        <w:tc>
          <w:tcPr>
            <w:tcW w:w="4900" w:type="dxa"/>
            <w:vAlign w:val="bottom"/>
            <w:tcBorders>
              <w:bottom w:val="single" w:sz="8" w:color="0000FF"/>
            </w:tcBorders>
            <w:gridSpan w:val="25"/>
          </w:tcPr>
          <w:p>
            <w:pPr>
              <w:spacing w:after="0"/>
              <w:rPr>
                <w:rFonts w:ascii="Arial" w:cs="Arial" w:eastAsia="Arial" w:hAnsi="Arial"/>
                <w:sz w:val="16"/>
                <w:szCs w:val="16"/>
                <w:color w:val="0000FF"/>
                <w:w w:val="88"/>
              </w:rPr>
            </w:pPr>
            <w:hyperlink r:id="rId143">
              <w:r>
                <w:rPr>
                  <w:rFonts w:ascii="Arial" w:cs="Arial" w:eastAsia="Arial" w:hAnsi="Arial"/>
                  <w:sz w:val="16"/>
                  <w:szCs w:val="16"/>
                  <w:color w:val="0000FF"/>
                  <w:w w:val="88"/>
                </w:rPr>
                <w:t>Restricted Stock Agreement between the Registrant and Andrew W. Houston.</w:t>
              </w:r>
            </w:hyperlink>
          </w:p>
        </w:tc>
        <w:tc>
          <w:tcPr>
            <w:tcW w:w="0" w:type="dxa"/>
            <w:vAlign w:val="bottom"/>
          </w:tcPr>
          <w:p>
            <w:pPr>
              <w:spacing w:after="0"/>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93"/>
              </w:rPr>
              <w:t>10.10+</w:t>
            </w:r>
          </w:p>
        </w:tc>
        <w:tc>
          <w:tcPr>
            <w:tcW w:w="4900" w:type="dxa"/>
            <w:vAlign w:val="bottom"/>
            <w:tcBorders>
              <w:bottom w:val="single" w:sz="8" w:color="0000FF"/>
            </w:tcBorders>
            <w:gridSpan w:val="25"/>
          </w:tcPr>
          <w:p>
            <w:pPr>
              <w:spacing w:after="0"/>
              <w:rPr>
                <w:rFonts w:ascii="Arial" w:cs="Arial" w:eastAsia="Arial" w:hAnsi="Arial"/>
                <w:sz w:val="16"/>
                <w:szCs w:val="16"/>
                <w:color w:val="0000FF"/>
                <w:w w:val="88"/>
              </w:rPr>
            </w:pPr>
            <w:hyperlink r:id="rId144">
              <w:r>
                <w:rPr>
                  <w:rFonts w:ascii="Arial" w:cs="Arial" w:eastAsia="Arial" w:hAnsi="Arial"/>
                  <w:sz w:val="16"/>
                  <w:szCs w:val="16"/>
                  <w:color w:val="0000FF"/>
                  <w:w w:val="88"/>
                </w:rPr>
                <w:t>Form of Change in Control and Severance Agreement between the Registrant</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1900" w:type="dxa"/>
            <w:vAlign w:val="bottom"/>
            <w:gridSpan w:val="5"/>
            <w:vMerge w:val="restart"/>
          </w:tcPr>
          <w:p>
            <w:pPr>
              <w:spacing w:after="0" w:line="138" w:lineRule="exact"/>
              <w:rPr>
                <w:rFonts w:ascii="Arial" w:cs="Arial" w:eastAsia="Arial" w:hAnsi="Arial"/>
                <w:sz w:val="15"/>
                <w:szCs w:val="15"/>
                <w:color w:val="0000FF"/>
                <w:w w:val="94"/>
              </w:rPr>
            </w:pPr>
            <w:hyperlink r:id="rId144">
              <w:r>
                <w:rPr>
                  <w:rFonts w:ascii="Arial" w:cs="Arial" w:eastAsia="Arial" w:hAnsi="Arial"/>
                  <w:sz w:val="15"/>
                  <w:szCs w:val="15"/>
                  <w:color w:val="0000FF"/>
                  <w:w w:val="94"/>
                </w:rPr>
                <w:t>and certain executive officers.</w:t>
              </w:r>
            </w:hyperlink>
          </w:p>
        </w:tc>
        <w:tc>
          <w:tcPr>
            <w:tcW w:w="3000" w:type="dxa"/>
            <w:vAlign w:val="bottom"/>
            <w:gridSpan w:val="20"/>
            <w:vMerge w:val="restart"/>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800" w:type="dxa"/>
            <w:vAlign w:val="bottom"/>
          </w:tcPr>
          <w:p>
            <w:pPr>
              <w:spacing w:after="0"/>
              <w:rPr>
                <w:sz w:val="3"/>
                <w:szCs w:val="3"/>
                <w:color w:val="auto"/>
              </w:rPr>
            </w:pPr>
          </w:p>
        </w:tc>
        <w:tc>
          <w:tcPr>
            <w:tcW w:w="1900" w:type="dxa"/>
            <w:vAlign w:val="bottom"/>
            <w:tcBorders>
              <w:bottom w:val="single" w:sz="8" w:color="0000FF"/>
            </w:tcBorders>
            <w:gridSpan w:val="5"/>
            <w:vMerge w:val="continue"/>
          </w:tcPr>
          <w:p>
            <w:pPr>
              <w:spacing w:after="0"/>
              <w:rPr>
                <w:sz w:val="3"/>
                <w:szCs w:val="3"/>
                <w:color w:val="auto"/>
              </w:rPr>
            </w:pPr>
          </w:p>
        </w:tc>
        <w:tc>
          <w:tcPr>
            <w:tcW w:w="3000" w:type="dxa"/>
            <w:vAlign w:val="bottom"/>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10.11+</w:t>
            </w:r>
          </w:p>
        </w:tc>
        <w:tc>
          <w:tcPr>
            <w:tcW w:w="4360" w:type="dxa"/>
            <w:vAlign w:val="bottom"/>
            <w:tcBorders>
              <w:bottom w:val="single" w:sz="8" w:color="0000FF"/>
            </w:tcBorders>
            <w:gridSpan w:val="16"/>
          </w:tcPr>
          <w:p>
            <w:pPr>
              <w:spacing w:after="0"/>
              <w:rPr>
                <w:rFonts w:ascii="Arial" w:cs="Arial" w:eastAsia="Arial" w:hAnsi="Arial"/>
                <w:sz w:val="16"/>
                <w:szCs w:val="16"/>
                <w:color w:val="0000FF"/>
                <w:w w:val="89"/>
              </w:rPr>
            </w:pPr>
            <w:hyperlink r:id="rId145">
              <w:r>
                <w:rPr>
                  <w:rFonts w:ascii="Arial" w:cs="Arial" w:eastAsia="Arial" w:hAnsi="Arial"/>
                  <w:sz w:val="16"/>
                  <w:szCs w:val="16"/>
                  <w:color w:val="0000FF"/>
                  <w:w w:val="89"/>
                </w:rPr>
                <w:t>Employment Letter between the Registrant and Andrew W. Houston.</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93"/>
              </w:rPr>
              <w:t>10.12+</w:t>
            </w:r>
          </w:p>
        </w:tc>
        <w:tc>
          <w:tcPr>
            <w:tcW w:w="4900" w:type="dxa"/>
            <w:vAlign w:val="bottom"/>
            <w:gridSpan w:val="25"/>
          </w:tcPr>
          <w:p>
            <w:pPr>
              <w:spacing w:after="0"/>
              <w:rPr>
                <w:rFonts w:ascii="Arial" w:cs="Arial" w:eastAsia="Arial" w:hAnsi="Arial"/>
                <w:sz w:val="16"/>
                <w:szCs w:val="16"/>
                <w:color w:val="0000FF"/>
                <w:w w:val="95"/>
              </w:rPr>
            </w:pPr>
            <w:hyperlink r:id="rId146">
              <w:r>
                <w:rPr>
                  <w:rFonts w:ascii="Arial" w:cs="Arial" w:eastAsia="Arial" w:hAnsi="Arial"/>
                  <w:sz w:val="16"/>
                  <w:szCs w:val="16"/>
                  <w:color w:val="0000FF"/>
                  <w:w w:val="95"/>
                </w:rPr>
                <w:t>Form of Restricted Stock Agreement between the Registrant and certain</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540" w:type="dxa"/>
            <w:vAlign w:val="bottom"/>
            <w:tcBorders>
              <w:top w:val="single" w:sz="8" w:color="0000FF"/>
            </w:tcBorders>
            <w:gridSpan w:val="18"/>
            <w:vMerge w:val="restart"/>
          </w:tcPr>
          <w:p>
            <w:pPr>
              <w:spacing w:after="0" w:line="138" w:lineRule="exact"/>
              <w:rPr>
                <w:rFonts w:ascii="Arial" w:cs="Arial" w:eastAsia="Arial" w:hAnsi="Arial"/>
                <w:sz w:val="15"/>
                <w:szCs w:val="15"/>
                <w:color w:val="0000FF"/>
              </w:rPr>
            </w:pPr>
            <w:hyperlink r:id="rId146">
              <w:r>
                <w:rPr>
                  <w:rFonts w:ascii="Arial" w:cs="Arial" w:eastAsia="Arial" w:hAnsi="Arial"/>
                  <w:sz w:val="15"/>
                  <w:szCs w:val="15"/>
                  <w:color w:val="0000FF"/>
                </w:rPr>
                <w:t>executive officers.</w:t>
              </w:r>
            </w:hyperlink>
          </w:p>
        </w:tc>
        <w:tc>
          <w:tcPr>
            <w:tcW w:w="360" w:type="dxa"/>
            <w:vAlign w:val="bottom"/>
            <w:gridSpan w:val="7"/>
            <w:vMerge w:val="restart"/>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540" w:type="dxa"/>
            <w:vAlign w:val="bottom"/>
            <w:gridSpan w:val="18"/>
            <w:vMerge w:val="continue"/>
          </w:tcPr>
          <w:p>
            <w:pPr>
              <w:spacing w:after="0"/>
              <w:rPr>
                <w:sz w:val="3"/>
                <w:szCs w:val="3"/>
                <w:color w:val="auto"/>
              </w:rPr>
            </w:pPr>
          </w:p>
        </w:tc>
        <w:tc>
          <w:tcPr>
            <w:tcW w:w="3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10.13+</w:t>
            </w:r>
          </w:p>
        </w:tc>
        <w:tc>
          <w:tcPr>
            <w:tcW w:w="4900" w:type="dxa"/>
            <w:vAlign w:val="bottom"/>
            <w:gridSpan w:val="25"/>
          </w:tcPr>
          <w:p>
            <w:pPr>
              <w:spacing w:after="0"/>
              <w:rPr>
                <w:rFonts w:ascii="Arial" w:cs="Arial" w:eastAsia="Arial" w:hAnsi="Arial"/>
                <w:sz w:val="16"/>
                <w:szCs w:val="16"/>
                <w:color w:val="0000FF"/>
              </w:rPr>
            </w:pPr>
            <w:hyperlink r:id="rId147">
              <w:r>
                <w:rPr>
                  <w:rFonts w:ascii="Arial" w:cs="Arial" w:eastAsia="Arial" w:hAnsi="Arial"/>
                  <w:sz w:val="16"/>
                  <w:szCs w:val="16"/>
                  <w:color w:val="0000FF"/>
                </w:rPr>
                <w:t>Employment Letter between the Registrant and Timothy Young.</w:t>
              </w:r>
            </w:hyperlink>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10.14+</w:t>
            </w:r>
          </w:p>
        </w:tc>
        <w:tc>
          <w:tcPr>
            <w:tcW w:w="4040" w:type="dxa"/>
            <w:vAlign w:val="bottom"/>
            <w:tcBorders>
              <w:top w:val="single" w:sz="8" w:color="0000FF"/>
            </w:tcBorders>
            <w:gridSpan w:val="12"/>
          </w:tcPr>
          <w:p>
            <w:pPr>
              <w:spacing w:after="0"/>
              <w:rPr>
                <w:rFonts w:ascii="Arial" w:cs="Arial" w:eastAsia="Arial" w:hAnsi="Arial"/>
                <w:sz w:val="16"/>
                <w:szCs w:val="16"/>
                <w:color w:val="0000FF"/>
              </w:rPr>
            </w:pPr>
            <w:hyperlink r:id="rId148">
              <w:r>
                <w:rPr>
                  <w:rFonts w:ascii="Arial" w:cs="Arial" w:eastAsia="Arial" w:hAnsi="Arial"/>
                  <w:sz w:val="16"/>
                  <w:szCs w:val="16"/>
                  <w:color w:val="0000FF"/>
                </w:rPr>
                <w:t>Offer Letter between the Registrant and Timothy Regan</w:t>
              </w:r>
            </w:hyperlink>
          </w:p>
        </w:tc>
        <w:tc>
          <w:tcPr>
            <w:tcW w:w="8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10.15+</w:t>
            </w:r>
          </w:p>
        </w:tc>
        <w:tc>
          <w:tcPr>
            <w:tcW w:w="3540" w:type="dxa"/>
            <w:vAlign w:val="bottom"/>
            <w:tcBorders>
              <w:bottom w:val="single" w:sz="8" w:color="0000FF"/>
            </w:tcBorders>
            <w:gridSpan w:val="10"/>
          </w:tcPr>
          <w:p>
            <w:pPr>
              <w:spacing w:after="0"/>
              <w:rPr>
                <w:rFonts w:ascii="Arial" w:cs="Arial" w:eastAsia="Arial" w:hAnsi="Arial"/>
                <w:sz w:val="16"/>
                <w:szCs w:val="16"/>
                <w:color w:val="0000FF"/>
                <w:w w:val="89"/>
              </w:rPr>
            </w:pPr>
            <w:hyperlink r:id="rId149">
              <w:r>
                <w:rPr>
                  <w:rFonts w:ascii="Arial" w:cs="Arial" w:eastAsia="Arial" w:hAnsi="Arial"/>
                  <w:sz w:val="16"/>
                  <w:szCs w:val="16"/>
                  <w:color w:val="0000FF"/>
                  <w:w w:val="89"/>
                </w:rPr>
                <w:t>Offer Letter between the Registrant and Timothy Young</w:t>
              </w:r>
            </w:hyperlink>
          </w:p>
        </w:tc>
        <w:tc>
          <w:tcPr>
            <w:tcW w:w="13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93"/>
              </w:rPr>
              <w:t>10.16+</w:t>
            </w:r>
          </w:p>
        </w:tc>
        <w:tc>
          <w:tcPr>
            <w:tcW w:w="4560" w:type="dxa"/>
            <w:vAlign w:val="bottom"/>
            <w:tcBorders>
              <w:bottom w:val="single" w:sz="8" w:color="0000FF"/>
            </w:tcBorders>
            <w:gridSpan w:val="19"/>
          </w:tcPr>
          <w:p>
            <w:pPr>
              <w:spacing w:after="0"/>
              <w:rPr>
                <w:rFonts w:ascii="Arial" w:cs="Arial" w:eastAsia="Arial" w:hAnsi="Arial"/>
                <w:sz w:val="16"/>
                <w:szCs w:val="16"/>
                <w:color w:val="0000FF"/>
                <w:w w:val="88"/>
              </w:rPr>
            </w:pPr>
            <w:hyperlink r:id="rId150">
              <w:r>
                <w:rPr>
                  <w:rFonts w:ascii="Arial" w:cs="Arial" w:eastAsia="Arial" w:hAnsi="Arial"/>
                  <w:sz w:val="16"/>
                  <w:szCs w:val="16"/>
                  <w:color w:val="0000FF"/>
                  <w:w w:val="88"/>
                </w:rPr>
                <w:t>Restricted Stock Agreement between the Registrant and Timothy Young</w:t>
              </w:r>
            </w:hyperlink>
          </w:p>
        </w:tc>
        <w:tc>
          <w:tcPr>
            <w:tcW w:w="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84"/>
              </w:rPr>
              <w:t>10.17</w:t>
            </w:r>
          </w:p>
        </w:tc>
        <w:tc>
          <w:tcPr>
            <w:tcW w:w="4900" w:type="dxa"/>
            <w:vAlign w:val="bottom"/>
            <w:gridSpan w:val="25"/>
          </w:tcPr>
          <w:p>
            <w:pPr>
              <w:spacing w:after="0"/>
              <w:rPr>
                <w:rFonts w:ascii="Arial" w:cs="Arial" w:eastAsia="Arial" w:hAnsi="Arial"/>
                <w:sz w:val="16"/>
                <w:szCs w:val="16"/>
                <w:color w:val="0000FF"/>
                <w:w w:val="91"/>
              </w:rPr>
            </w:pPr>
            <w:hyperlink r:id="rId151">
              <w:r>
                <w:rPr>
                  <w:rFonts w:ascii="Arial" w:cs="Arial" w:eastAsia="Arial" w:hAnsi="Arial"/>
                  <w:sz w:val="16"/>
                  <w:szCs w:val="16"/>
                  <w:color w:val="0000FF"/>
                  <w:w w:val="91"/>
                </w:rPr>
                <w:t>Office Lease between the Registrant and KR Mission Bay, LLC, dated as of</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780" w:type="dxa"/>
            <w:vAlign w:val="bottom"/>
            <w:tcBorders>
              <w:top w:val="single" w:sz="8" w:color="0000FF"/>
            </w:tcBorders>
            <w:gridSpan w:val="22"/>
            <w:vMerge w:val="restart"/>
          </w:tcPr>
          <w:p>
            <w:pPr>
              <w:spacing w:after="0" w:line="138" w:lineRule="exact"/>
              <w:rPr>
                <w:rFonts w:ascii="Arial" w:cs="Arial" w:eastAsia="Arial" w:hAnsi="Arial"/>
                <w:sz w:val="15"/>
                <w:szCs w:val="15"/>
                <w:color w:val="0000FF"/>
              </w:rPr>
            </w:pPr>
            <w:hyperlink r:id="rId151">
              <w:r>
                <w:rPr>
                  <w:rFonts w:ascii="Arial" w:cs="Arial" w:eastAsia="Arial" w:hAnsi="Arial"/>
                  <w:sz w:val="15"/>
                  <w:szCs w:val="15"/>
                  <w:color w:val="0000FF"/>
                </w:rPr>
                <w:t>October 6, 2017.</w:t>
              </w:r>
            </w:hyperlink>
          </w:p>
        </w:tc>
        <w:tc>
          <w:tcPr>
            <w:tcW w:w="12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780" w:type="dxa"/>
            <w:vAlign w:val="bottom"/>
            <w:gridSpan w:val="22"/>
            <w:vMerge w:val="continue"/>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84"/>
              </w:rPr>
              <w:t>10.18</w:t>
            </w:r>
          </w:p>
        </w:tc>
        <w:tc>
          <w:tcPr>
            <w:tcW w:w="4900" w:type="dxa"/>
            <w:vAlign w:val="bottom"/>
            <w:gridSpan w:val="25"/>
          </w:tcPr>
          <w:p>
            <w:pPr>
              <w:spacing w:after="0"/>
              <w:rPr>
                <w:rFonts w:ascii="Arial" w:cs="Arial" w:eastAsia="Arial" w:hAnsi="Arial"/>
                <w:sz w:val="16"/>
                <w:szCs w:val="16"/>
                <w:color w:val="0000FF"/>
                <w:w w:val="90"/>
              </w:rPr>
            </w:pPr>
            <w:hyperlink r:id="rId152">
              <w:r>
                <w:rPr>
                  <w:rFonts w:ascii="Arial" w:cs="Arial" w:eastAsia="Arial" w:hAnsi="Arial"/>
                  <w:sz w:val="16"/>
                  <w:szCs w:val="16"/>
                  <w:color w:val="0000FF"/>
                  <w:w w:val="90"/>
                </w:rPr>
                <w:t>Second Amendment to Office Lease between Dropbox, Inc. and KR Mission</w:t>
              </w:r>
            </w:hyperlink>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2380" w:type="dxa"/>
            <w:vAlign w:val="bottom"/>
            <w:tcBorders>
              <w:top w:val="single" w:sz="8" w:color="0000FF"/>
            </w:tcBorders>
            <w:gridSpan w:val="8"/>
            <w:vMerge w:val="restart"/>
          </w:tcPr>
          <w:p>
            <w:pPr>
              <w:spacing w:after="0" w:line="138" w:lineRule="exact"/>
              <w:rPr>
                <w:rFonts w:ascii="Arial" w:cs="Arial" w:eastAsia="Arial" w:hAnsi="Arial"/>
                <w:sz w:val="15"/>
                <w:szCs w:val="15"/>
                <w:color w:val="0000FF"/>
                <w:w w:val="96"/>
              </w:rPr>
            </w:pPr>
            <w:hyperlink r:id="rId152">
              <w:r>
                <w:rPr>
                  <w:rFonts w:ascii="Arial" w:cs="Arial" w:eastAsia="Arial" w:hAnsi="Arial"/>
                  <w:sz w:val="15"/>
                  <w:szCs w:val="15"/>
                  <w:color w:val="0000FF"/>
                  <w:w w:val="96"/>
                </w:rPr>
                <w:t>Bay, LLC, dated as of May 25, 2018.</w:t>
              </w:r>
            </w:hyperlink>
          </w:p>
        </w:tc>
        <w:tc>
          <w:tcPr>
            <w:tcW w:w="2460" w:type="dxa"/>
            <w:vAlign w:val="bottom"/>
            <w:tcBorders>
              <w:top w:val="single" w:sz="8" w:color="0000FF"/>
            </w:tcBorders>
            <w:gridSpan w:val="16"/>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800" w:type="dxa"/>
            <w:vAlign w:val="bottom"/>
          </w:tcPr>
          <w:p>
            <w:pPr>
              <w:spacing w:after="0"/>
              <w:rPr>
                <w:sz w:val="3"/>
                <w:szCs w:val="3"/>
                <w:color w:val="auto"/>
              </w:rPr>
            </w:pPr>
          </w:p>
        </w:tc>
        <w:tc>
          <w:tcPr>
            <w:tcW w:w="2380" w:type="dxa"/>
            <w:vAlign w:val="bottom"/>
            <w:tcBorders>
              <w:bottom w:val="single" w:sz="8" w:color="0000FF"/>
            </w:tcBorders>
            <w:gridSpan w:val="8"/>
            <w:vMerge w:val="continue"/>
          </w:tcPr>
          <w:p>
            <w:pPr>
              <w:spacing w:after="0"/>
              <w:rPr>
                <w:sz w:val="3"/>
                <w:szCs w:val="3"/>
                <w:color w:val="auto"/>
              </w:rPr>
            </w:pPr>
          </w:p>
        </w:tc>
        <w:tc>
          <w:tcPr>
            <w:tcW w:w="2460" w:type="dxa"/>
            <w:vAlign w:val="bottom"/>
            <w:gridSpan w:val="1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2"/>
        </w:trPr>
        <w:tc>
          <w:tcPr>
            <w:tcW w:w="800" w:type="dxa"/>
            <w:vAlign w:val="bottom"/>
          </w:tcPr>
          <w:p>
            <w:pPr>
              <w:spacing w:after="0"/>
              <w:rPr>
                <w:sz w:val="24"/>
                <w:szCs w:val="24"/>
                <w:color w:val="auto"/>
              </w:rPr>
            </w:pPr>
          </w:p>
        </w:tc>
        <w:tc>
          <w:tcPr>
            <w:tcW w:w="4900" w:type="dxa"/>
            <w:vAlign w:val="bottom"/>
            <w:gridSpan w:val="25"/>
          </w:tcPr>
          <w:p>
            <w:pPr>
              <w:spacing w:after="0"/>
              <w:rPr>
                <w:rFonts w:ascii="Arial" w:cs="Arial" w:eastAsia="Arial" w:hAnsi="Arial"/>
                <w:sz w:val="16"/>
                <w:szCs w:val="16"/>
                <w:color w:val="0000FF"/>
                <w:w w:val="91"/>
              </w:rPr>
            </w:pPr>
            <w:hyperlink r:id="rId153">
              <w:r>
                <w:rPr>
                  <w:rFonts w:ascii="Arial" w:cs="Arial" w:eastAsia="Arial" w:hAnsi="Arial"/>
                  <w:sz w:val="16"/>
                  <w:szCs w:val="16"/>
                  <w:color w:val="0000FF"/>
                  <w:w w:val="91"/>
                </w:rPr>
                <w:t>Third Amendment and Restatement Agreement to the Revolving Credit and</w:t>
              </w:r>
            </w:hyperlink>
          </w:p>
        </w:tc>
        <w:tc>
          <w:tcPr>
            <w:tcW w:w="0" w:type="dxa"/>
            <w:vAlign w:val="bottom"/>
          </w:tcPr>
          <w:p>
            <w:pPr>
              <w:spacing w:after="0"/>
              <w:rPr>
                <w:sz w:val="1"/>
                <w:szCs w:val="1"/>
                <w:color w:val="auto"/>
              </w:rPr>
            </w:pPr>
          </w:p>
        </w:tc>
      </w:tr>
      <w:tr>
        <w:trPr>
          <w:trHeight w:val="137"/>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84"/>
              </w:rPr>
              <w:t>10.19</w:t>
            </w:r>
          </w:p>
        </w:tc>
        <w:tc>
          <w:tcPr>
            <w:tcW w:w="4780" w:type="dxa"/>
            <w:vAlign w:val="bottom"/>
            <w:tcBorders>
              <w:top w:val="single" w:sz="8" w:color="0000FF"/>
              <w:bottom w:val="single" w:sz="8" w:color="0000FF"/>
            </w:tcBorders>
            <w:gridSpan w:val="22"/>
          </w:tcPr>
          <w:p>
            <w:pPr>
              <w:spacing w:after="0" w:line="138" w:lineRule="exact"/>
              <w:rPr>
                <w:rFonts w:ascii="Arial" w:cs="Arial" w:eastAsia="Arial" w:hAnsi="Arial"/>
                <w:sz w:val="15"/>
                <w:szCs w:val="15"/>
                <w:color w:val="0000FF"/>
                <w:w w:val="93"/>
              </w:rPr>
            </w:pPr>
            <w:hyperlink r:id="rId153">
              <w:r>
                <w:rPr>
                  <w:rFonts w:ascii="Arial" w:cs="Arial" w:eastAsia="Arial" w:hAnsi="Arial"/>
                  <w:sz w:val="15"/>
                  <w:szCs w:val="15"/>
                  <w:color w:val="0000FF"/>
                  <w:w w:val="93"/>
                </w:rPr>
                <w:t>Guaranty Agreement, by and among the Registrant, the lenders party thereto</w:t>
              </w:r>
            </w:hyperlink>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900" w:type="dxa"/>
            <w:vAlign w:val="bottom"/>
            <w:gridSpan w:val="25"/>
            <w:vMerge w:val="restart"/>
          </w:tcPr>
          <w:p>
            <w:pPr>
              <w:spacing w:after="0" w:line="138" w:lineRule="exact"/>
              <w:rPr>
                <w:rFonts w:ascii="Arial" w:cs="Arial" w:eastAsia="Arial" w:hAnsi="Arial"/>
                <w:sz w:val="15"/>
                <w:szCs w:val="15"/>
                <w:color w:val="0000FF"/>
              </w:rPr>
            </w:pPr>
            <w:hyperlink r:id="rId153">
              <w:r>
                <w:rPr>
                  <w:rFonts w:ascii="Arial" w:cs="Arial" w:eastAsia="Arial" w:hAnsi="Arial"/>
                  <w:sz w:val="15"/>
                  <w:szCs w:val="15"/>
                  <w:color w:val="0000FF"/>
                </w:rPr>
                <w:t>and JPMorgan Chase Bank, N.A., as Administrative Agent, dated as of</w:t>
              </w:r>
            </w:hyperlink>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900" w:type="dxa"/>
            <w:vAlign w:val="bottom"/>
            <w:gridSpan w:val="2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480" w:type="dxa"/>
            <w:vAlign w:val="bottom"/>
            <w:tcBorders>
              <w:top w:val="single" w:sz="8" w:color="0000FF"/>
            </w:tcBorders>
            <w:gridSpan w:val="17"/>
          </w:tcPr>
          <w:p>
            <w:pPr>
              <w:spacing w:after="0" w:line="138" w:lineRule="exact"/>
              <w:rPr>
                <w:rFonts w:ascii="Arial" w:cs="Arial" w:eastAsia="Arial" w:hAnsi="Arial"/>
                <w:sz w:val="15"/>
                <w:szCs w:val="15"/>
                <w:color w:val="0000FF"/>
              </w:rPr>
            </w:pPr>
            <w:hyperlink r:id="rId153">
              <w:r>
                <w:rPr>
                  <w:rFonts w:ascii="Arial" w:cs="Arial" w:eastAsia="Arial" w:hAnsi="Arial"/>
                  <w:sz w:val="15"/>
                  <w:szCs w:val="15"/>
                  <w:color w:val="0000FF"/>
                </w:rPr>
                <w:t>February 23, 2021.</w:t>
              </w:r>
            </w:hyperlink>
          </w:p>
        </w:tc>
        <w:tc>
          <w:tcPr>
            <w:tcW w:w="24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vMerge w:val="restart"/>
          </w:tcPr>
          <w:p>
            <w:pPr>
              <w:jc w:val="center"/>
              <w:ind w:right="261"/>
              <w:spacing w:after="0"/>
              <w:rPr>
                <w:sz w:val="20"/>
                <w:szCs w:val="20"/>
                <w:color w:val="auto"/>
              </w:rPr>
            </w:pPr>
            <w:r>
              <w:rPr>
                <w:rFonts w:ascii="Arial" w:cs="Arial" w:eastAsia="Arial" w:hAnsi="Arial"/>
                <w:sz w:val="16"/>
                <w:szCs w:val="16"/>
                <w:color w:val="auto"/>
                <w:w w:val="84"/>
              </w:rPr>
              <w:t>10.20</w:t>
            </w:r>
          </w:p>
        </w:tc>
        <w:tc>
          <w:tcPr>
            <w:tcW w:w="4900" w:type="dxa"/>
            <w:vAlign w:val="bottom"/>
            <w:gridSpan w:val="25"/>
          </w:tcPr>
          <w:p>
            <w:pPr>
              <w:spacing w:after="0"/>
              <w:rPr>
                <w:rFonts w:ascii="Arial" w:cs="Arial" w:eastAsia="Arial" w:hAnsi="Arial"/>
                <w:sz w:val="16"/>
                <w:szCs w:val="16"/>
                <w:color w:val="0000FF"/>
                <w:w w:val="88"/>
              </w:rPr>
            </w:pPr>
            <w:hyperlink r:id="rId154">
              <w:r>
                <w:rPr>
                  <w:rFonts w:ascii="Arial" w:cs="Arial" w:eastAsia="Arial" w:hAnsi="Arial"/>
                  <w:sz w:val="16"/>
                  <w:szCs w:val="16"/>
                  <w:color w:val="0000FF"/>
                  <w:w w:val="88"/>
                </w:rPr>
                <w:t>Purchase Agreement, dated February 23, 2021, by and among the Registrant</w:t>
              </w:r>
            </w:hyperlink>
          </w:p>
        </w:tc>
        <w:tc>
          <w:tcPr>
            <w:tcW w:w="0" w:type="dxa"/>
            <w:vAlign w:val="bottom"/>
          </w:tcPr>
          <w:p>
            <w:pPr>
              <w:spacing w:after="0"/>
              <w:rPr>
                <w:sz w:val="1"/>
                <w:szCs w:val="1"/>
                <w:color w:val="auto"/>
              </w:rPr>
            </w:pPr>
          </w:p>
        </w:tc>
      </w:tr>
      <w:tr>
        <w:trPr>
          <w:trHeight w:val="137"/>
        </w:trPr>
        <w:tc>
          <w:tcPr>
            <w:tcW w:w="800" w:type="dxa"/>
            <w:vAlign w:val="bottom"/>
            <w:vMerge w:val="continue"/>
          </w:tcPr>
          <w:p>
            <w:pPr>
              <w:spacing w:after="0"/>
              <w:rPr>
                <w:sz w:val="11"/>
                <w:szCs w:val="11"/>
                <w:color w:val="auto"/>
              </w:rPr>
            </w:pPr>
          </w:p>
        </w:tc>
        <w:tc>
          <w:tcPr>
            <w:tcW w:w="4820" w:type="dxa"/>
            <w:vAlign w:val="bottom"/>
            <w:tcBorders>
              <w:top w:val="single" w:sz="8" w:color="0000FF"/>
            </w:tcBorders>
            <w:gridSpan w:val="23"/>
          </w:tcPr>
          <w:p>
            <w:pPr>
              <w:spacing w:after="0" w:line="138" w:lineRule="exact"/>
              <w:rPr>
                <w:rFonts w:ascii="Arial" w:cs="Arial" w:eastAsia="Arial" w:hAnsi="Arial"/>
                <w:sz w:val="15"/>
                <w:szCs w:val="15"/>
                <w:color w:val="0000FF"/>
              </w:rPr>
            </w:pPr>
            <w:hyperlink r:id="rId154">
              <w:r>
                <w:rPr>
                  <w:rFonts w:ascii="Arial" w:cs="Arial" w:eastAsia="Arial" w:hAnsi="Arial"/>
                  <w:sz w:val="15"/>
                  <w:szCs w:val="15"/>
                  <w:color w:val="0000FF"/>
                </w:rPr>
                <w:t>and J.P. Morgan Securities LLC and Goldman Sachs &amp; Co. LLC, as</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280" w:type="dxa"/>
            <w:vAlign w:val="bottom"/>
            <w:tcBorders>
              <w:top w:val="single" w:sz="8" w:color="0000FF"/>
            </w:tcBorders>
            <w:gridSpan w:val="13"/>
          </w:tcPr>
          <w:p>
            <w:pPr>
              <w:spacing w:after="0" w:line="138" w:lineRule="exact"/>
              <w:rPr>
                <w:rFonts w:ascii="Arial" w:cs="Arial" w:eastAsia="Arial" w:hAnsi="Arial"/>
                <w:sz w:val="15"/>
                <w:szCs w:val="15"/>
                <w:color w:val="0000FF"/>
                <w:w w:val="96"/>
              </w:rPr>
            </w:pPr>
            <w:hyperlink r:id="rId154">
              <w:r>
                <w:rPr>
                  <w:rFonts w:ascii="Arial" w:cs="Arial" w:eastAsia="Arial" w:hAnsi="Arial"/>
                  <w:sz w:val="15"/>
                  <w:szCs w:val="15"/>
                  <w:color w:val="0000FF"/>
                  <w:w w:val="96"/>
                </w:rPr>
                <w:t>representatives of the several initial purchasers listed in Schedule I</w:t>
              </w:r>
            </w:hyperlink>
          </w:p>
        </w:tc>
        <w:tc>
          <w:tcPr>
            <w:tcW w:w="620" w:type="dxa"/>
            <w:vAlign w:val="bottom"/>
            <w:gridSpan w:val="12"/>
          </w:tcPr>
          <w:p>
            <w:pPr>
              <w:spacing w:after="0" w:line="138" w:lineRule="exact"/>
              <w:rPr>
                <w:rFonts w:ascii="Arial" w:cs="Arial" w:eastAsia="Arial" w:hAnsi="Arial"/>
                <w:sz w:val="15"/>
                <w:szCs w:val="15"/>
                <w:color w:val="0000FF"/>
              </w:rPr>
            </w:pPr>
            <w:hyperlink r:id="rId154">
              <w:r>
                <w:rPr>
                  <w:rFonts w:ascii="Arial" w:cs="Arial" w:eastAsia="Arial" w:hAnsi="Arial"/>
                  <w:sz w:val="15"/>
                  <w:szCs w:val="15"/>
                  <w:color w:val="0000FF"/>
                </w:rPr>
                <w:t>thereto.</w:t>
              </w:r>
            </w:hyperlink>
          </w:p>
        </w:tc>
        <w:tc>
          <w:tcPr>
            <w:tcW w:w="0" w:type="dxa"/>
            <w:vAlign w:val="bottom"/>
          </w:tcPr>
          <w:p>
            <w:pPr>
              <w:spacing w:after="0"/>
              <w:rPr>
                <w:sz w:val="1"/>
                <w:szCs w:val="1"/>
                <w:color w:val="auto"/>
              </w:rPr>
            </w:pPr>
          </w:p>
        </w:tc>
      </w:tr>
      <w:tr>
        <w:trPr>
          <w:trHeight w:val="465"/>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10.21</w:t>
            </w:r>
          </w:p>
        </w:tc>
        <w:tc>
          <w:tcPr>
            <w:tcW w:w="4340" w:type="dxa"/>
            <w:vAlign w:val="bottom"/>
            <w:tcBorders>
              <w:top w:val="single" w:sz="8" w:color="0000FF"/>
              <w:bottom w:val="single" w:sz="8" w:color="0000FF"/>
            </w:tcBorders>
            <w:gridSpan w:val="15"/>
          </w:tcPr>
          <w:p>
            <w:pPr>
              <w:spacing w:after="0"/>
              <w:rPr>
                <w:rFonts w:ascii="Arial" w:cs="Arial" w:eastAsia="Arial" w:hAnsi="Arial"/>
                <w:sz w:val="17"/>
                <w:szCs w:val="17"/>
                <w:color w:val="0000FF"/>
                <w:w w:val="95"/>
              </w:rPr>
            </w:pPr>
            <w:hyperlink r:id="rId155">
              <w:r>
                <w:rPr>
                  <w:rFonts w:ascii="Arial" w:cs="Arial" w:eastAsia="Arial" w:hAnsi="Arial"/>
                  <w:sz w:val="17"/>
                  <w:szCs w:val="17"/>
                  <w:color w:val="0000FF"/>
                  <w:w w:val="95"/>
                </w:rPr>
                <w:t>Form of Convertible Note Hedge Confirmation (2026 Notes).</w:t>
              </w:r>
            </w:hyperlink>
          </w:p>
        </w:tc>
        <w:tc>
          <w:tcPr>
            <w:tcW w:w="380" w:type="dxa"/>
            <w:vAlign w:val="bottom"/>
            <w:tcBorders>
              <w:top w:val="single" w:sz="8" w:color="0000FF"/>
            </w:tcBorders>
            <w:gridSpan w:val="6"/>
          </w:tcPr>
          <w:p>
            <w:pPr>
              <w:spacing w:after="0"/>
              <w:rPr>
                <w:sz w:val="24"/>
                <w:szCs w:val="24"/>
                <w:color w:val="auto"/>
              </w:rPr>
            </w:pP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10.22</w:t>
            </w:r>
          </w:p>
        </w:tc>
        <w:tc>
          <w:tcPr>
            <w:tcW w:w="4320" w:type="dxa"/>
            <w:vAlign w:val="bottom"/>
            <w:tcBorders>
              <w:bottom w:val="single" w:sz="8" w:color="0000FF"/>
            </w:tcBorders>
            <w:gridSpan w:val="14"/>
          </w:tcPr>
          <w:p>
            <w:pPr>
              <w:spacing w:after="0"/>
              <w:rPr>
                <w:rFonts w:ascii="Arial" w:cs="Arial" w:eastAsia="Arial" w:hAnsi="Arial"/>
                <w:sz w:val="17"/>
                <w:szCs w:val="17"/>
                <w:color w:val="0000FF"/>
                <w:w w:val="94"/>
              </w:rPr>
            </w:pPr>
            <w:hyperlink r:id="rId156">
              <w:r>
                <w:rPr>
                  <w:rFonts w:ascii="Arial" w:cs="Arial" w:eastAsia="Arial" w:hAnsi="Arial"/>
                  <w:sz w:val="17"/>
                  <w:szCs w:val="17"/>
                  <w:color w:val="0000FF"/>
                  <w:w w:val="94"/>
                </w:rPr>
                <w:t>Form of Convertible Note Hedge Confirmation (2028 Notes).</w:t>
              </w:r>
            </w:hyperlink>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10.23</w:t>
            </w:r>
          </w:p>
        </w:tc>
        <w:tc>
          <w:tcPr>
            <w:tcW w:w="2360" w:type="dxa"/>
            <w:vAlign w:val="bottom"/>
            <w:tcBorders>
              <w:bottom w:val="single" w:sz="8" w:color="0000FF"/>
            </w:tcBorders>
            <w:gridSpan w:val="7"/>
          </w:tcPr>
          <w:p>
            <w:pPr>
              <w:spacing w:after="0"/>
              <w:rPr>
                <w:rFonts w:ascii="Arial" w:cs="Arial" w:eastAsia="Arial" w:hAnsi="Arial"/>
                <w:sz w:val="16"/>
                <w:szCs w:val="16"/>
                <w:color w:val="0000FF"/>
                <w:w w:val="91"/>
              </w:rPr>
            </w:pPr>
            <w:hyperlink r:id="rId157">
              <w:r>
                <w:rPr>
                  <w:rFonts w:ascii="Arial" w:cs="Arial" w:eastAsia="Arial" w:hAnsi="Arial"/>
                  <w:sz w:val="16"/>
                  <w:szCs w:val="16"/>
                  <w:color w:val="0000FF"/>
                  <w:w w:val="91"/>
                </w:rPr>
                <w:t>Form of 2026 Warrant Confirmation.</w:t>
              </w:r>
            </w:hyperlink>
          </w:p>
        </w:tc>
        <w:tc>
          <w:tcPr>
            <w:tcW w:w="25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1"/>
              <w:spacing w:after="0"/>
              <w:rPr>
                <w:sz w:val="20"/>
                <w:szCs w:val="20"/>
                <w:color w:val="auto"/>
              </w:rPr>
            </w:pPr>
            <w:r>
              <w:rPr>
                <w:rFonts w:ascii="Arial" w:cs="Arial" w:eastAsia="Arial" w:hAnsi="Arial"/>
                <w:sz w:val="16"/>
                <w:szCs w:val="16"/>
                <w:color w:val="auto"/>
                <w:w w:val="84"/>
              </w:rPr>
              <w:t>10.24</w:t>
            </w:r>
          </w:p>
        </w:tc>
        <w:tc>
          <w:tcPr>
            <w:tcW w:w="4900" w:type="dxa"/>
            <w:vAlign w:val="bottom"/>
            <w:gridSpan w:val="25"/>
          </w:tcPr>
          <w:p>
            <w:pPr>
              <w:spacing w:after="0"/>
              <w:rPr>
                <w:rFonts w:ascii="Arial" w:cs="Arial" w:eastAsia="Arial" w:hAnsi="Arial"/>
                <w:sz w:val="16"/>
                <w:szCs w:val="16"/>
                <w:color w:val="0000FF"/>
              </w:rPr>
            </w:pPr>
            <w:hyperlink r:id="rId158">
              <w:r>
                <w:rPr>
                  <w:rFonts w:ascii="Arial" w:cs="Arial" w:eastAsia="Arial" w:hAnsi="Arial"/>
                  <w:sz w:val="16"/>
                  <w:szCs w:val="16"/>
                  <w:color w:val="0000FF"/>
                </w:rPr>
                <w:t>Form of 2028 Warrant Confirmation.</w:t>
              </w:r>
            </w:hyperlink>
          </w:p>
        </w:tc>
        <w:tc>
          <w:tcPr>
            <w:tcW w:w="0" w:type="dxa"/>
            <w:vAlign w:val="bottom"/>
          </w:tcPr>
          <w:p>
            <w:pPr>
              <w:spacing w:after="0"/>
              <w:rPr>
                <w:sz w:val="1"/>
                <w:szCs w:val="1"/>
                <w:color w:val="auto"/>
              </w:rPr>
            </w:pPr>
          </w:p>
        </w:tc>
      </w:tr>
      <w:tr>
        <w:trPr>
          <w:trHeight w:val="858"/>
        </w:trPr>
        <w:tc>
          <w:tcPr>
            <w:tcW w:w="800" w:type="dxa"/>
            <w:vAlign w:val="bottom"/>
          </w:tcPr>
          <w:p>
            <w:pPr>
              <w:spacing w:after="0"/>
              <w:rPr>
                <w:sz w:val="24"/>
                <w:szCs w:val="24"/>
                <w:color w:val="auto"/>
              </w:rPr>
            </w:pPr>
          </w:p>
        </w:tc>
        <w:tc>
          <w:tcPr>
            <w:tcW w:w="2340" w:type="dxa"/>
            <w:vAlign w:val="bottom"/>
            <w:tcBorders>
              <w:top w:val="single" w:sz="8" w:color="0000FF"/>
            </w:tcBorders>
            <w:gridSpan w:val="6"/>
          </w:tcPr>
          <w:p>
            <w:pPr>
              <w:spacing w:after="0"/>
              <w:rPr>
                <w:sz w:val="24"/>
                <w:szCs w:val="24"/>
                <w:color w:val="auto"/>
              </w:rPr>
            </w:pPr>
          </w:p>
        </w:tc>
        <w:tc>
          <w:tcPr>
            <w:tcW w:w="2440" w:type="dxa"/>
            <w:vAlign w:val="bottom"/>
            <w:gridSpan w:val="16"/>
          </w:tcPr>
          <w:p>
            <w:pPr>
              <w:jc w:val="right"/>
              <w:ind w:right="40"/>
              <w:spacing w:after="0"/>
              <w:rPr>
                <w:sz w:val="20"/>
                <w:szCs w:val="20"/>
                <w:color w:val="auto"/>
              </w:rPr>
            </w:pPr>
            <w:r>
              <w:rPr>
                <w:rFonts w:ascii="Arial" w:cs="Arial" w:eastAsia="Arial" w:hAnsi="Arial"/>
                <w:sz w:val="17"/>
                <w:szCs w:val="17"/>
                <w:color w:val="auto"/>
              </w:rPr>
              <w:t>111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60" w:type="dxa"/>
            <w:vAlign w:val="bottom"/>
          </w:tcPr>
          <w:p>
            <w:pPr>
              <w:jc w:val="center"/>
              <w:ind w:right="202"/>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ind w:left="300"/>
              <w:spacing w:after="0"/>
              <w:rPr>
                <w:sz w:val="20"/>
                <w:szCs w:val="20"/>
                <w:color w:val="auto"/>
              </w:rPr>
            </w:pPr>
            <w:r>
              <w:rPr>
                <w:rFonts w:ascii="Arial" w:cs="Arial" w:eastAsia="Arial" w:hAnsi="Arial"/>
                <w:sz w:val="14"/>
                <w:szCs w:val="14"/>
                <w:b w:val="1"/>
                <w:bCs w:val="1"/>
                <w:color w:val="auto"/>
              </w:rPr>
              <w:t>File Number</w:t>
            </w: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Filed with SEC</w:t>
            </w:r>
          </w:p>
        </w:tc>
      </w:tr>
      <w:tr>
        <w:trPr>
          <w:trHeight w:val="29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10.7</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March 21, 2018</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10.8</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19, 2021</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10.9</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23, 2018</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March 12, 2018</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10.14</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10.17</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August 7,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November 6,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10.17</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19, 2021</w:t>
            </w:r>
          </w:p>
        </w:tc>
      </w:tr>
      <w:tr>
        <w:trPr>
          <w:trHeight w:val="551"/>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10.19</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23, 2018</w:t>
            </w:r>
          </w:p>
        </w:tc>
      </w:tr>
      <w:tr>
        <w:trPr>
          <w:trHeight w:val="629"/>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August 10, 2018</w:t>
            </w:r>
          </w:p>
        </w:tc>
      </w:tr>
      <w:tr>
        <w:trPr>
          <w:trHeight w:val="787"/>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10.6</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865"/>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629"/>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485"/>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10.3</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485"/>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10.4</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10.5</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26, 2021</w:t>
            </w:r>
          </w:p>
        </w:tc>
      </w:tr>
    </w:tbl>
    <w:p>
      <w:pPr>
        <w:sectPr>
          <w:pgSz w:w="11900" w:h="16838" w:orient="portrait"/>
          <w:cols w:equalWidth="0" w:num="2">
            <w:col w:w="5900" w:space="400"/>
            <w:col w:w="4580"/>
          </w:cols>
          <w:pgMar w:left="320" w:top="130" w:right="69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200" w:type="dxa"/>
        <w:tblCellMar>
          <w:top w:w="0" w:type="dxa"/>
          <w:left w:w="0" w:type="dxa"/>
          <w:bottom w:w="0" w:type="dxa"/>
          <w:right w:w="0" w:type="dxa"/>
        </w:tblCellMar>
      </w:tblPr>
      <w:tr>
        <w:trPr>
          <w:trHeight w:val="183"/>
        </w:trPr>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00" w:type="dxa"/>
            <w:vAlign w:val="bottom"/>
          </w:tcPr>
          <w:p>
            <w:pPr>
              <w:jc w:val="center"/>
              <w:ind w:left="266"/>
              <w:spacing w:after="0"/>
              <w:rPr>
                <w:sz w:val="20"/>
                <w:szCs w:val="20"/>
                <w:color w:val="auto"/>
              </w:rPr>
            </w:pPr>
            <w:r>
              <w:rPr>
                <w:rFonts w:ascii="Arial" w:cs="Arial" w:eastAsia="Arial" w:hAnsi="Arial"/>
                <w:sz w:val="14"/>
                <w:szCs w:val="14"/>
                <w:b w:val="1"/>
                <w:bCs w:val="1"/>
                <w:color w:val="auto"/>
                <w:w w:val="94"/>
              </w:rPr>
              <w:t>Filed with SEC</w:t>
            </w:r>
          </w:p>
        </w:tc>
        <w:tc>
          <w:tcPr>
            <w:tcW w:w="0" w:type="dxa"/>
            <w:vAlign w:val="bottom"/>
          </w:tcPr>
          <w:p>
            <w:pPr>
              <w:spacing w:after="0"/>
              <w:rPr>
                <w:sz w:val="1"/>
                <w:szCs w:val="1"/>
                <w:color w:val="auto"/>
              </w:rPr>
            </w:pPr>
          </w:p>
        </w:tc>
      </w:tr>
      <w:tr>
        <w:trPr>
          <w:trHeight w:val="443"/>
        </w:trPr>
        <w:tc>
          <w:tcPr>
            <w:tcW w:w="800" w:type="dxa"/>
            <w:vAlign w:val="bottom"/>
            <w:vMerge w:val="restart"/>
          </w:tcPr>
          <w:p>
            <w:pPr>
              <w:jc w:val="center"/>
              <w:ind w:right="263"/>
              <w:spacing w:after="0"/>
              <w:rPr>
                <w:sz w:val="20"/>
                <w:szCs w:val="20"/>
                <w:color w:val="auto"/>
              </w:rPr>
            </w:pPr>
            <w:r>
              <w:rPr>
                <w:rFonts w:ascii="Arial" w:cs="Arial" w:eastAsia="Arial" w:hAnsi="Arial"/>
                <w:sz w:val="16"/>
                <w:szCs w:val="16"/>
                <w:color w:val="auto"/>
                <w:w w:val="93"/>
              </w:rPr>
              <w:t>10.25+</w:t>
            </w:r>
          </w:p>
        </w:tc>
        <w:tc>
          <w:tcPr>
            <w:tcW w:w="5120" w:type="dxa"/>
            <w:vAlign w:val="bottom"/>
            <w:gridSpan w:val="16"/>
          </w:tcPr>
          <w:p>
            <w:pPr>
              <w:spacing w:after="0"/>
              <w:rPr>
                <w:rFonts w:ascii="Arial" w:cs="Arial" w:eastAsia="Arial" w:hAnsi="Arial"/>
                <w:sz w:val="16"/>
                <w:szCs w:val="16"/>
                <w:color w:val="0000FF"/>
              </w:rPr>
            </w:pPr>
            <w:hyperlink r:id="rId160">
              <w:r>
                <w:rPr>
                  <w:rFonts w:ascii="Arial" w:cs="Arial" w:eastAsia="Arial" w:hAnsi="Arial"/>
                  <w:sz w:val="16"/>
                  <w:szCs w:val="16"/>
                  <w:color w:val="0000FF"/>
                </w:rPr>
                <w:t>Dropbox, Inc. Outside Director Compensation Policy and related form</w:t>
              </w:r>
            </w:hyperlink>
          </w:p>
        </w:tc>
        <w:tc>
          <w:tcPr>
            <w:tcW w:w="840" w:type="dxa"/>
            <w:vAlign w:val="bottom"/>
            <w:vMerge w:val="restart"/>
          </w:tcPr>
          <w:p>
            <w:pPr>
              <w:ind w:left="200"/>
              <w:spacing w:after="0"/>
              <w:rPr>
                <w:sz w:val="20"/>
                <w:szCs w:val="20"/>
                <w:color w:val="auto"/>
              </w:rPr>
            </w:pPr>
            <w:r>
              <w:rPr>
                <w:rFonts w:ascii="Arial" w:cs="Arial" w:eastAsia="Arial" w:hAnsi="Arial"/>
                <w:sz w:val="16"/>
                <w:szCs w:val="16"/>
                <w:color w:val="auto"/>
              </w:rPr>
              <w:t>10-K</w:t>
            </w:r>
          </w:p>
        </w:tc>
        <w:tc>
          <w:tcPr>
            <w:tcW w:w="1360" w:type="dxa"/>
            <w:vAlign w:val="bottom"/>
            <w:vMerge w:val="restart"/>
          </w:tcPr>
          <w:p>
            <w:pPr>
              <w:jc w:val="right"/>
              <w:ind w:right="266"/>
              <w:spacing w:after="0"/>
              <w:rPr>
                <w:sz w:val="20"/>
                <w:szCs w:val="20"/>
                <w:color w:val="auto"/>
              </w:rPr>
            </w:pPr>
            <w:r>
              <w:rPr>
                <w:rFonts w:ascii="Arial" w:cs="Arial" w:eastAsia="Arial" w:hAnsi="Arial"/>
                <w:sz w:val="16"/>
                <w:szCs w:val="16"/>
                <w:color w:val="auto"/>
              </w:rPr>
              <w:t>001-38434</w:t>
            </w:r>
          </w:p>
        </w:tc>
        <w:tc>
          <w:tcPr>
            <w:tcW w:w="1060" w:type="dxa"/>
            <w:vAlign w:val="bottom"/>
            <w:vMerge w:val="restart"/>
          </w:tcPr>
          <w:p>
            <w:pPr>
              <w:jc w:val="right"/>
              <w:ind w:right="306"/>
              <w:spacing w:after="0"/>
              <w:rPr>
                <w:sz w:val="20"/>
                <w:szCs w:val="20"/>
                <w:color w:val="auto"/>
              </w:rPr>
            </w:pPr>
            <w:r>
              <w:rPr>
                <w:rFonts w:ascii="Arial" w:cs="Arial" w:eastAsia="Arial" w:hAnsi="Arial"/>
                <w:sz w:val="16"/>
                <w:szCs w:val="16"/>
                <w:color w:val="auto"/>
              </w:rPr>
              <w:t>10.22</w:t>
            </w:r>
          </w:p>
        </w:tc>
        <w:tc>
          <w:tcPr>
            <w:tcW w:w="1500" w:type="dxa"/>
            <w:vAlign w:val="bottom"/>
            <w:vMerge w:val="restart"/>
          </w:tcPr>
          <w:p>
            <w:pPr>
              <w:jc w:val="center"/>
              <w:ind w:left="266"/>
              <w:spacing w:after="0"/>
              <w:rPr>
                <w:sz w:val="20"/>
                <w:szCs w:val="20"/>
                <w:color w:val="auto"/>
              </w:rPr>
            </w:pPr>
            <w:r>
              <w:rPr>
                <w:rFonts w:ascii="Arial" w:cs="Arial" w:eastAsia="Arial" w:hAnsi="Arial"/>
                <w:sz w:val="16"/>
                <w:szCs w:val="16"/>
                <w:color w:val="auto"/>
                <w:w w:val="88"/>
              </w:rPr>
              <w:t>February 21, 2020</w:t>
            </w:r>
          </w:p>
        </w:tc>
        <w:tc>
          <w:tcPr>
            <w:tcW w:w="0" w:type="dxa"/>
            <w:vAlign w:val="bottom"/>
          </w:tcPr>
          <w:p>
            <w:pPr>
              <w:spacing w:after="0"/>
              <w:rPr>
                <w:sz w:val="1"/>
                <w:szCs w:val="1"/>
                <w:color w:val="auto"/>
              </w:rPr>
            </w:pPr>
          </w:p>
        </w:tc>
      </w:tr>
      <w:tr>
        <w:trPr>
          <w:trHeight w:val="92"/>
        </w:trPr>
        <w:tc>
          <w:tcPr>
            <w:tcW w:w="800" w:type="dxa"/>
            <w:vAlign w:val="bottom"/>
            <w:vMerge w:val="continue"/>
          </w:tcPr>
          <w:p>
            <w:pPr>
              <w:spacing w:after="0"/>
              <w:rPr>
                <w:sz w:val="7"/>
                <w:szCs w:val="7"/>
                <w:color w:val="auto"/>
              </w:rPr>
            </w:pPr>
          </w:p>
        </w:tc>
        <w:tc>
          <w:tcPr>
            <w:tcW w:w="4440" w:type="dxa"/>
            <w:vAlign w:val="bottom"/>
            <w:tcBorders>
              <w:top w:val="single" w:sz="8" w:color="0000FF"/>
            </w:tcBorders>
            <w:gridSpan w:val="9"/>
            <w:vMerge w:val="restart"/>
          </w:tcPr>
          <w:p>
            <w:pPr>
              <w:spacing w:after="0" w:line="138" w:lineRule="exact"/>
              <w:rPr>
                <w:rFonts w:ascii="Arial" w:cs="Arial" w:eastAsia="Arial" w:hAnsi="Arial"/>
                <w:sz w:val="15"/>
                <w:szCs w:val="15"/>
                <w:color w:val="0000FF"/>
              </w:rPr>
            </w:pPr>
            <w:hyperlink r:id="rId160">
              <w:r>
                <w:rPr>
                  <w:rFonts w:ascii="Arial" w:cs="Arial" w:eastAsia="Arial" w:hAnsi="Arial"/>
                  <w:sz w:val="15"/>
                  <w:szCs w:val="15"/>
                  <w:color w:val="0000FF"/>
                </w:rPr>
                <w:t>agreements.</w:t>
              </w:r>
            </w:hyperlink>
          </w:p>
        </w:tc>
        <w:tc>
          <w:tcPr>
            <w:tcW w:w="680" w:type="dxa"/>
            <w:vAlign w:val="bottom"/>
            <w:gridSpan w:val="7"/>
            <w:vMerge w:val="restart"/>
          </w:tcPr>
          <w:p>
            <w:pPr>
              <w:spacing w:after="0"/>
              <w:rPr>
                <w:sz w:val="7"/>
                <w:szCs w:val="7"/>
                <w:color w:val="auto"/>
              </w:rPr>
            </w:pPr>
          </w:p>
        </w:tc>
        <w:tc>
          <w:tcPr>
            <w:tcW w:w="8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00" w:type="dxa"/>
            <w:vAlign w:val="bottom"/>
          </w:tcPr>
          <w:p>
            <w:pPr>
              <w:spacing w:after="0"/>
              <w:rPr>
                <w:sz w:val="3"/>
                <w:szCs w:val="3"/>
                <w:color w:val="auto"/>
              </w:rPr>
            </w:pPr>
          </w:p>
        </w:tc>
        <w:tc>
          <w:tcPr>
            <w:tcW w:w="4440" w:type="dxa"/>
            <w:vAlign w:val="bottom"/>
            <w:gridSpan w:val="9"/>
            <w:vMerge w:val="continue"/>
          </w:tcPr>
          <w:p>
            <w:pPr>
              <w:spacing w:after="0"/>
              <w:rPr>
                <w:sz w:val="3"/>
                <w:szCs w:val="3"/>
                <w:color w:val="auto"/>
              </w:rPr>
            </w:pPr>
          </w:p>
        </w:tc>
        <w:tc>
          <w:tcPr>
            <w:tcW w:w="680" w:type="dxa"/>
            <w:vAlign w:val="bottom"/>
            <w:gridSpan w:val="7"/>
            <w:vMerge w:val="continue"/>
          </w:tcPr>
          <w:p>
            <w:pPr>
              <w:spacing w:after="0"/>
              <w:rPr>
                <w:sz w:val="3"/>
                <w:szCs w:val="3"/>
                <w:color w:val="auto"/>
              </w:rPr>
            </w:pPr>
          </w:p>
        </w:tc>
        <w:tc>
          <w:tcPr>
            <w:tcW w:w="8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vMerge w:val="restart"/>
          </w:tcPr>
          <w:p>
            <w:pPr>
              <w:jc w:val="center"/>
              <w:ind w:right="263"/>
              <w:spacing w:after="0"/>
              <w:rPr>
                <w:sz w:val="20"/>
                <w:szCs w:val="20"/>
                <w:color w:val="auto"/>
              </w:rPr>
            </w:pPr>
            <w:r>
              <w:rPr>
                <w:rFonts w:ascii="Arial" w:cs="Arial" w:eastAsia="Arial" w:hAnsi="Arial"/>
                <w:sz w:val="16"/>
                <w:szCs w:val="16"/>
                <w:color w:val="auto"/>
                <w:w w:val="90"/>
              </w:rPr>
              <w:t>10.26*</w:t>
            </w:r>
          </w:p>
        </w:tc>
        <w:tc>
          <w:tcPr>
            <w:tcW w:w="5120" w:type="dxa"/>
            <w:vAlign w:val="bottom"/>
            <w:gridSpan w:val="16"/>
          </w:tcPr>
          <w:p>
            <w:pPr>
              <w:spacing w:after="0"/>
              <w:rPr>
                <w:rFonts w:ascii="Arial" w:cs="Arial" w:eastAsia="Arial" w:hAnsi="Arial"/>
                <w:sz w:val="16"/>
                <w:szCs w:val="16"/>
                <w:color w:val="0000FF"/>
                <w:w w:val="95"/>
              </w:rPr>
            </w:pPr>
            <w:hyperlink w:anchor="page116">
              <w:r>
                <w:rPr>
                  <w:rFonts w:ascii="Arial" w:cs="Arial" w:eastAsia="Arial" w:hAnsi="Arial"/>
                  <w:sz w:val="16"/>
                  <w:szCs w:val="16"/>
                  <w:color w:val="0000FF"/>
                  <w:w w:val="95"/>
                </w:rPr>
                <w:t>Eighth Amendment to Office Lease, dated November 1, 2021 and executed</w:t>
              </w:r>
            </w:hyperlink>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vMerge w:val="continue"/>
          </w:tcPr>
          <w:p>
            <w:pPr>
              <w:spacing w:after="0"/>
              <w:rPr>
                <w:sz w:val="11"/>
                <w:szCs w:val="11"/>
                <w:color w:val="auto"/>
              </w:rPr>
            </w:pPr>
          </w:p>
        </w:tc>
        <w:tc>
          <w:tcPr>
            <w:tcW w:w="4740" w:type="dxa"/>
            <w:vAlign w:val="bottom"/>
            <w:tcBorders>
              <w:top w:val="single" w:sz="8" w:color="0000FF"/>
            </w:tcBorders>
            <w:gridSpan w:val="11"/>
          </w:tcPr>
          <w:p>
            <w:pPr>
              <w:spacing w:after="0" w:line="138" w:lineRule="exact"/>
              <w:rPr>
                <w:rFonts w:ascii="Arial" w:cs="Arial" w:eastAsia="Arial" w:hAnsi="Arial"/>
                <w:sz w:val="15"/>
                <w:szCs w:val="15"/>
                <w:color w:val="0000FF"/>
                <w:w w:val="94"/>
              </w:rPr>
            </w:pPr>
            <w:hyperlink w:anchor="page116">
              <w:r>
                <w:rPr>
                  <w:rFonts w:ascii="Arial" w:cs="Arial" w:eastAsia="Arial" w:hAnsi="Arial"/>
                  <w:sz w:val="15"/>
                  <w:szCs w:val="15"/>
                  <w:color w:val="0000FF"/>
                  <w:w w:val="94"/>
                </w:rPr>
                <w:t>on December 16, 2021, by and between the Registrant and KRE Exchange</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780" w:type="dxa"/>
            <w:vAlign w:val="bottom"/>
            <w:tcBorders>
              <w:top w:val="single" w:sz="8" w:color="0000FF"/>
              <w:bottom w:val="single" w:sz="8" w:color="0000FF"/>
            </w:tcBorders>
            <w:gridSpan w:val="2"/>
          </w:tcPr>
          <w:p>
            <w:pPr>
              <w:spacing w:after="0" w:line="138" w:lineRule="exact"/>
              <w:rPr>
                <w:rFonts w:ascii="Arial" w:cs="Arial" w:eastAsia="Arial" w:hAnsi="Arial"/>
                <w:sz w:val="15"/>
                <w:szCs w:val="15"/>
                <w:color w:val="0000FF"/>
              </w:rPr>
            </w:pPr>
            <w:hyperlink w:anchor="page116">
              <w:r>
                <w:rPr>
                  <w:rFonts w:ascii="Arial" w:cs="Arial" w:eastAsia="Arial" w:hAnsi="Arial"/>
                  <w:sz w:val="15"/>
                  <w:szCs w:val="15"/>
                  <w:color w:val="0000FF"/>
                </w:rPr>
                <w:t>Owner LLC</w:t>
              </w:r>
            </w:hyperlink>
          </w:p>
        </w:tc>
        <w:tc>
          <w:tcPr>
            <w:tcW w:w="3920" w:type="dxa"/>
            <w:vAlign w:val="bottom"/>
            <w:tcBorders>
              <w:top w:val="single" w:sz="8" w:color="0000FF"/>
            </w:tcBorders>
            <w:gridSpan w:val="8"/>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3"/>
              <w:spacing w:after="0"/>
              <w:rPr>
                <w:sz w:val="20"/>
                <w:szCs w:val="20"/>
                <w:color w:val="auto"/>
              </w:rPr>
            </w:pPr>
            <w:r>
              <w:rPr>
                <w:rFonts w:ascii="Arial" w:cs="Arial" w:eastAsia="Arial" w:hAnsi="Arial"/>
                <w:sz w:val="16"/>
                <w:szCs w:val="16"/>
                <w:color w:val="auto"/>
                <w:w w:val="90"/>
              </w:rPr>
              <w:t>21.1*</w:t>
            </w:r>
          </w:p>
        </w:tc>
        <w:tc>
          <w:tcPr>
            <w:tcW w:w="2340" w:type="dxa"/>
            <w:vAlign w:val="bottom"/>
            <w:tcBorders>
              <w:bottom w:val="single" w:sz="8" w:color="0000FF"/>
            </w:tcBorders>
            <w:gridSpan w:val="5"/>
          </w:tcPr>
          <w:p>
            <w:pPr>
              <w:spacing w:after="0"/>
              <w:rPr>
                <w:rFonts w:ascii="Arial" w:cs="Arial" w:eastAsia="Arial" w:hAnsi="Arial"/>
                <w:sz w:val="16"/>
                <w:szCs w:val="16"/>
                <w:color w:val="0000FF"/>
                <w:w w:val="89"/>
              </w:rPr>
            </w:pPr>
            <w:hyperlink w:anchor="page136">
              <w:r>
                <w:rPr>
                  <w:rFonts w:ascii="Arial" w:cs="Arial" w:eastAsia="Arial" w:hAnsi="Arial"/>
                  <w:sz w:val="16"/>
                  <w:szCs w:val="16"/>
                  <w:color w:val="0000FF"/>
                  <w:w w:val="89"/>
                </w:rPr>
                <w:t>List of subsidiaries of the Registrant.</w:t>
              </w:r>
            </w:hyperlink>
          </w:p>
        </w:tc>
        <w:tc>
          <w:tcPr>
            <w:tcW w:w="278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0" w:type="dxa"/>
            <w:vAlign w:val="bottom"/>
          </w:tcPr>
          <w:p>
            <w:pPr>
              <w:jc w:val="center"/>
              <w:ind w:right="263"/>
              <w:spacing w:after="0"/>
              <w:rPr>
                <w:sz w:val="20"/>
                <w:szCs w:val="20"/>
                <w:color w:val="auto"/>
              </w:rPr>
            </w:pPr>
            <w:r>
              <w:rPr>
                <w:rFonts w:ascii="Arial" w:cs="Arial" w:eastAsia="Arial" w:hAnsi="Arial"/>
                <w:sz w:val="16"/>
                <w:szCs w:val="16"/>
                <w:color w:val="auto"/>
                <w:w w:val="90"/>
              </w:rPr>
              <w:t>23.1*</w:t>
            </w:r>
          </w:p>
        </w:tc>
        <w:tc>
          <w:tcPr>
            <w:tcW w:w="5120" w:type="dxa"/>
            <w:vAlign w:val="bottom"/>
            <w:gridSpan w:val="16"/>
          </w:tcPr>
          <w:p>
            <w:pPr>
              <w:spacing w:after="0"/>
              <w:rPr>
                <w:rFonts w:ascii="Arial" w:cs="Arial" w:eastAsia="Arial" w:hAnsi="Arial"/>
                <w:sz w:val="16"/>
                <w:szCs w:val="16"/>
                <w:color w:val="0000FF"/>
              </w:rPr>
            </w:pPr>
            <w:hyperlink w:anchor="page137">
              <w:r>
                <w:rPr>
                  <w:rFonts w:ascii="Arial" w:cs="Arial" w:eastAsia="Arial" w:hAnsi="Arial"/>
                  <w:sz w:val="16"/>
                  <w:szCs w:val="16"/>
                  <w:color w:val="0000FF"/>
                </w:rPr>
                <w:t>Consent of Independent Registered Public Accounting Firm.</w:t>
              </w:r>
            </w:hyperlink>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jc w:val="center"/>
              <w:ind w:right="263"/>
              <w:spacing w:after="0"/>
              <w:rPr>
                <w:sz w:val="20"/>
                <w:szCs w:val="20"/>
                <w:color w:val="auto"/>
              </w:rPr>
            </w:pPr>
            <w:r>
              <w:rPr>
                <w:rFonts w:ascii="Arial" w:cs="Arial" w:eastAsia="Arial" w:hAnsi="Arial"/>
                <w:sz w:val="16"/>
                <w:szCs w:val="16"/>
                <w:color w:val="auto"/>
                <w:w w:val="90"/>
              </w:rPr>
              <w:t>24.1*</w:t>
            </w:r>
          </w:p>
        </w:tc>
        <w:tc>
          <w:tcPr>
            <w:tcW w:w="352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89"/>
              </w:rPr>
            </w:pPr>
            <w:hyperlink w:anchor="page114">
              <w:r>
                <w:rPr>
                  <w:rFonts w:ascii="Arial" w:cs="Arial" w:eastAsia="Arial" w:hAnsi="Arial"/>
                  <w:sz w:val="16"/>
                  <w:szCs w:val="16"/>
                  <w:color w:val="0000FF"/>
                  <w:w w:val="89"/>
                </w:rPr>
                <w:t>Power of Attorney (included in signature pages hereto).</w:t>
              </w:r>
            </w:hyperlink>
          </w:p>
        </w:tc>
        <w:tc>
          <w:tcPr>
            <w:tcW w:w="300" w:type="dxa"/>
            <w:vAlign w:val="bottom"/>
            <w:tcBorders>
              <w:top w:val="single" w:sz="8" w:color="0000FF"/>
            </w:tcBorders>
          </w:tcPr>
          <w:p>
            <w:pPr>
              <w:spacing w:after="0"/>
              <w:rPr>
                <w:sz w:val="24"/>
                <w:szCs w:val="24"/>
                <w:color w:val="auto"/>
              </w:rPr>
            </w:pPr>
          </w:p>
        </w:tc>
        <w:tc>
          <w:tcPr>
            <w:tcW w:w="130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5120" w:type="dxa"/>
            <w:vAlign w:val="bottom"/>
            <w:gridSpan w:val="16"/>
          </w:tcPr>
          <w:p>
            <w:pPr>
              <w:spacing w:after="0"/>
              <w:rPr>
                <w:rFonts w:ascii="Arial" w:cs="Arial" w:eastAsia="Arial" w:hAnsi="Arial"/>
                <w:sz w:val="16"/>
                <w:szCs w:val="16"/>
                <w:color w:val="0000FF"/>
                <w:w w:val="96"/>
              </w:rPr>
            </w:pPr>
            <w:hyperlink w:anchor="page138">
              <w:r>
                <w:rPr>
                  <w:rFonts w:ascii="Arial" w:cs="Arial" w:eastAsia="Arial" w:hAnsi="Arial"/>
                  <w:sz w:val="16"/>
                  <w:szCs w:val="16"/>
                  <w:color w:val="0000FF"/>
                  <w:w w:val="96"/>
                </w:rPr>
                <w:t>Certification of Principal Executive Officer pursuant to Exchange Act Rules</w:t>
              </w:r>
            </w:hyperlink>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tcPr>
          <w:p>
            <w:pPr>
              <w:jc w:val="center"/>
              <w:ind w:right="263"/>
              <w:spacing w:after="0" w:line="138" w:lineRule="exact"/>
              <w:rPr>
                <w:sz w:val="20"/>
                <w:szCs w:val="20"/>
                <w:color w:val="auto"/>
              </w:rPr>
            </w:pPr>
            <w:r>
              <w:rPr>
                <w:rFonts w:ascii="Arial" w:cs="Arial" w:eastAsia="Arial" w:hAnsi="Arial"/>
                <w:sz w:val="15"/>
                <w:szCs w:val="15"/>
                <w:color w:val="auto"/>
                <w:w w:val="96"/>
              </w:rPr>
              <w:t>31.1*</w:t>
            </w:r>
          </w:p>
        </w:tc>
        <w:tc>
          <w:tcPr>
            <w:tcW w:w="4800" w:type="dxa"/>
            <w:vAlign w:val="bottom"/>
            <w:tcBorders>
              <w:top w:val="single" w:sz="8" w:color="0000FF"/>
            </w:tcBorders>
            <w:gridSpan w:val="13"/>
          </w:tcPr>
          <w:p>
            <w:pPr>
              <w:spacing w:after="0" w:line="138" w:lineRule="exact"/>
              <w:rPr>
                <w:rFonts w:ascii="Arial" w:cs="Arial" w:eastAsia="Arial" w:hAnsi="Arial"/>
                <w:sz w:val="15"/>
                <w:szCs w:val="15"/>
                <w:color w:val="0000FF"/>
                <w:w w:val="92"/>
              </w:rPr>
            </w:pPr>
            <w:hyperlink w:anchor="page138">
              <w:r>
                <w:rPr>
                  <w:rFonts w:ascii="Arial" w:cs="Arial" w:eastAsia="Arial" w:hAnsi="Arial"/>
                  <w:sz w:val="15"/>
                  <w:szCs w:val="15"/>
                  <w:color w:val="0000FF"/>
                  <w:w w:val="92"/>
                </w:rPr>
                <w:t>13a-14(a) and 15d-14(a), as adopted pursuant to Section 302 of the Sarbanes</w:t>
              </w:r>
            </w:hyperlink>
          </w:p>
        </w:tc>
        <w:tc>
          <w:tcPr>
            <w:tcW w:w="140" w:type="dxa"/>
            <w:vAlign w:val="bottom"/>
            <w:gridSpan w:val="2"/>
          </w:tcPr>
          <w:p>
            <w:pPr>
              <w:jc w:val="right"/>
              <w:ind w:right="60"/>
              <w:spacing w:after="0" w:line="138" w:lineRule="exact"/>
              <w:rPr>
                <w:rFonts w:ascii="Arial" w:cs="Arial" w:eastAsia="Arial" w:hAnsi="Arial"/>
                <w:sz w:val="15"/>
                <w:szCs w:val="15"/>
                <w:color w:val="0000FF"/>
              </w:rPr>
            </w:pPr>
            <w:hyperlink w:anchor="page138">
              <w:r>
                <w:rPr>
                  <w:rFonts w:ascii="Arial" w:cs="Arial" w:eastAsia="Arial" w:hAnsi="Arial"/>
                  <w:sz w:val="15"/>
                  <w:szCs w:val="15"/>
                  <w:color w:val="0000FF"/>
                </w:rPr>
                <w:t>-</w:t>
              </w:r>
            </w:hyperlink>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880" w:type="dxa"/>
            <w:vAlign w:val="bottom"/>
            <w:tcBorders>
              <w:top w:val="single" w:sz="8" w:color="0000FF"/>
            </w:tcBorders>
            <w:gridSpan w:val="14"/>
          </w:tcPr>
          <w:p>
            <w:pPr>
              <w:spacing w:after="0" w:line="138" w:lineRule="exact"/>
              <w:rPr>
                <w:rFonts w:ascii="Arial" w:cs="Arial" w:eastAsia="Arial" w:hAnsi="Arial"/>
                <w:sz w:val="15"/>
                <w:szCs w:val="15"/>
                <w:color w:val="0000FF"/>
              </w:rPr>
            </w:pPr>
            <w:hyperlink w:anchor="page138">
              <w:r>
                <w:rPr>
                  <w:rFonts w:ascii="Arial" w:cs="Arial" w:eastAsia="Arial" w:hAnsi="Arial"/>
                  <w:sz w:val="15"/>
                  <w:szCs w:val="15"/>
                  <w:color w:val="0000FF"/>
                </w:rPr>
                <w:t>Oxley Act of 2002.</w:t>
              </w:r>
            </w:hyperlink>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spacing w:after="0"/>
              <w:rPr>
                <w:sz w:val="24"/>
                <w:szCs w:val="24"/>
                <w:color w:val="auto"/>
              </w:rPr>
            </w:pPr>
          </w:p>
        </w:tc>
        <w:tc>
          <w:tcPr>
            <w:tcW w:w="5120" w:type="dxa"/>
            <w:vAlign w:val="bottom"/>
            <w:gridSpan w:val="16"/>
          </w:tcPr>
          <w:p>
            <w:pPr>
              <w:spacing w:after="0"/>
              <w:rPr>
                <w:rFonts w:ascii="Arial" w:cs="Arial" w:eastAsia="Arial" w:hAnsi="Arial"/>
                <w:sz w:val="16"/>
                <w:szCs w:val="16"/>
                <w:color w:val="0000FF"/>
                <w:w w:val="97"/>
              </w:rPr>
            </w:pPr>
            <w:hyperlink w:anchor="page139">
              <w:r>
                <w:rPr>
                  <w:rFonts w:ascii="Arial" w:cs="Arial" w:eastAsia="Arial" w:hAnsi="Arial"/>
                  <w:sz w:val="16"/>
                  <w:szCs w:val="16"/>
                  <w:color w:val="0000FF"/>
                  <w:w w:val="97"/>
                </w:rPr>
                <w:t>Certification of Principal Financial Officer pursuant to Exchange Act Rules</w:t>
              </w:r>
            </w:hyperlink>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tcPr>
          <w:p>
            <w:pPr>
              <w:jc w:val="center"/>
              <w:ind w:right="263"/>
              <w:spacing w:after="0" w:line="138" w:lineRule="exact"/>
              <w:rPr>
                <w:sz w:val="20"/>
                <w:szCs w:val="20"/>
                <w:color w:val="auto"/>
              </w:rPr>
            </w:pPr>
            <w:r>
              <w:rPr>
                <w:rFonts w:ascii="Arial" w:cs="Arial" w:eastAsia="Arial" w:hAnsi="Arial"/>
                <w:sz w:val="15"/>
                <w:szCs w:val="15"/>
                <w:color w:val="auto"/>
                <w:w w:val="96"/>
              </w:rPr>
              <w:t>31.2*</w:t>
            </w:r>
          </w:p>
        </w:tc>
        <w:tc>
          <w:tcPr>
            <w:tcW w:w="4760" w:type="dxa"/>
            <w:vAlign w:val="bottom"/>
            <w:tcBorders>
              <w:top w:val="single" w:sz="8" w:color="0000FF"/>
            </w:tcBorders>
            <w:gridSpan w:val="12"/>
          </w:tcPr>
          <w:p>
            <w:pPr>
              <w:spacing w:after="0" w:line="138" w:lineRule="exact"/>
              <w:rPr>
                <w:rFonts w:ascii="Arial" w:cs="Arial" w:eastAsia="Arial" w:hAnsi="Arial"/>
                <w:sz w:val="15"/>
                <w:szCs w:val="15"/>
                <w:color w:val="0000FF"/>
                <w:w w:val="91"/>
              </w:rPr>
            </w:pPr>
            <w:hyperlink w:anchor="page139">
              <w:r>
                <w:rPr>
                  <w:rFonts w:ascii="Arial" w:cs="Arial" w:eastAsia="Arial" w:hAnsi="Arial"/>
                  <w:sz w:val="15"/>
                  <w:szCs w:val="15"/>
                  <w:color w:val="0000FF"/>
                  <w:w w:val="91"/>
                </w:rPr>
                <w:t>13a-14(a) and 15d-14(a), as adopted pursuant to Section 302 of the Sarbanes</w:t>
              </w:r>
            </w:hyperlink>
          </w:p>
        </w:tc>
        <w:tc>
          <w:tcPr>
            <w:tcW w:w="180" w:type="dxa"/>
            <w:vAlign w:val="bottom"/>
            <w:gridSpan w:val="3"/>
          </w:tcPr>
          <w:p>
            <w:pPr>
              <w:jc w:val="right"/>
              <w:ind w:right="60"/>
              <w:spacing w:after="0" w:line="138" w:lineRule="exact"/>
              <w:rPr>
                <w:rFonts w:ascii="Arial" w:cs="Arial" w:eastAsia="Arial" w:hAnsi="Arial"/>
                <w:sz w:val="15"/>
                <w:szCs w:val="15"/>
                <w:color w:val="0000FF"/>
              </w:rPr>
            </w:pPr>
            <w:hyperlink w:anchor="page139">
              <w:r>
                <w:rPr>
                  <w:rFonts w:ascii="Arial" w:cs="Arial" w:eastAsia="Arial" w:hAnsi="Arial"/>
                  <w:sz w:val="15"/>
                  <w:szCs w:val="15"/>
                  <w:color w:val="0000FF"/>
                </w:rPr>
                <w:t>-</w:t>
              </w:r>
            </w:hyperlink>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880" w:type="dxa"/>
            <w:vAlign w:val="bottom"/>
            <w:tcBorders>
              <w:top w:val="single" w:sz="8" w:color="0000FF"/>
            </w:tcBorders>
            <w:gridSpan w:val="14"/>
          </w:tcPr>
          <w:p>
            <w:pPr>
              <w:spacing w:after="0" w:line="138" w:lineRule="exact"/>
              <w:rPr>
                <w:rFonts w:ascii="Arial" w:cs="Arial" w:eastAsia="Arial" w:hAnsi="Arial"/>
                <w:sz w:val="15"/>
                <w:szCs w:val="15"/>
                <w:color w:val="0000FF"/>
              </w:rPr>
            </w:pPr>
            <w:hyperlink w:anchor="page139">
              <w:r>
                <w:rPr>
                  <w:rFonts w:ascii="Arial" w:cs="Arial" w:eastAsia="Arial" w:hAnsi="Arial"/>
                  <w:sz w:val="15"/>
                  <w:szCs w:val="15"/>
                  <w:color w:val="0000FF"/>
                </w:rPr>
                <w:t>Oxley Act of 2002.</w:t>
              </w:r>
            </w:hyperlink>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vMerge w:val="restart"/>
          </w:tcPr>
          <w:p>
            <w:pPr>
              <w:jc w:val="center"/>
              <w:ind w:right="263"/>
              <w:spacing w:after="0"/>
              <w:rPr>
                <w:sz w:val="20"/>
                <w:szCs w:val="20"/>
                <w:color w:val="auto"/>
              </w:rPr>
            </w:pPr>
            <w:r>
              <w:rPr>
                <w:rFonts w:ascii="Arial" w:cs="Arial" w:eastAsia="Arial" w:hAnsi="Arial"/>
                <w:sz w:val="16"/>
                <w:szCs w:val="16"/>
                <w:color w:val="auto"/>
                <w:w w:val="84"/>
              </w:rPr>
              <w:t>32.1†</w:t>
            </w:r>
          </w:p>
        </w:tc>
        <w:tc>
          <w:tcPr>
            <w:tcW w:w="5120" w:type="dxa"/>
            <w:vAlign w:val="bottom"/>
            <w:gridSpan w:val="16"/>
          </w:tcPr>
          <w:p>
            <w:pPr>
              <w:spacing w:after="0"/>
              <w:rPr>
                <w:rFonts w:ascii="Arial" w:cs="Arial" w:eastAsia="Arial" w:hAnsi="Arial"/>
                <w:sz w:val="16"/>
                <w:szCs w:val="16"/>
                <w:color w:val="0000FF"/>
                <w:w w:val="94"/>
              </w:rPr>
            </w:pPr>
            <w:hyperlink w:anchor="page140">
              <w:r>
                <w:rPr>
                  <w:rFonts w:ascii="Arial" w:cs="Arial" w:eastAsia="Arial" w:hAnsi="Arial"/>
                  <w:sz w:val="16"/>
                  <w:szCs w:val="16"/>
                  <w:color w:val="0000FF"/>
                  <w:w w:val="94"/>
                </w:rPr>
                <w:t>Certifications of Chief Executive Officer and Chief Financial Officer pursuant</w:t>
              </w:r>
            </w:hyperlink>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00" w:type="dxa"/>
            <w:vAlign w:val="bottom"/>
            <w:vMerge w:val="continue"/>
          </w:tcPr>
          <w:p>
            <w:pPr>
              <w:spacing w:after="0"/>
              <w:rPr>
                <w:sz w:val="11"/>
                <w:szCs w:val="11"/>
                <w:color w:val="auto"/>
              </w:rPr>
            </w:pPr>
          </w:p>
        </w:tc>
        <w:tc>
          <w:tcPr>
            <w:tcW w:w="4940" w:type="dxa"/>
            <w:vAlign w:val="bottom"/>
            <w:tcBorders>
              <w:top w:val="single" w:sz="8" w:color="0000FF"/>
            </w:tcBorders>
            <w:gridSpan w:val="15"/>
          </w:tcPr>
          <w:p>
            <w:pPr>
              <w:spacing w:after="0" w:line="138" w:lineRule="exact"/>
              <w:rPr>
                <w:rFonts w:ascii="Arial" w:cs="Arial" w:eastAsia="Arial" w:hAnsi="Arial"/>
                <w:sz w:val="15"/>
                <w:szCs w:val="15"/>
                <w:color w:val="0000FF"/>
              </w:rPr>
            </w:pPr>
            <w:hyperlink w:anchor="page140">
              <w:r>
                <w:rPr>
                  <w:rFonts w:ascii="Arial" w:cs="Arial" w:eastAsia="Arial" w:hAnsi="Arial"/>
                  <w:sz w:val="15"/>
                  <w:szCs w:val="15"/>
                  <w:color w:val="0000FF"/>
                </w:rPr>
                <w:t>to 18 U.S.C. Section 1350 as adopted pursuant to Section 906 of the</w:t>
              </w:r>
            </w:hyperlink>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300" w:type="dxa"/>
            <w:vAlign w:val="bottom"/>
            <w:tcBorders>
              <w:top w:val="single" w:sz="8" w:color="0000FF"/>
            </w:tcBorders>
            <w:gridSpan w:val="8"/>
          </w:tcPr>
          <w:p>
            <w:pPr>
              <w:spacing w:after="0" w:line="138" w:lineRule="exact"/>
              <w:rPr>
                <w:rFonts w:ascii="Arial" w:cs="Arial" w:eastAsia="Arial" w:hAnsi="Arial"/>
                <w:sz w:val="15"/>
                <w:szCs w:val="15"/>
                <w:color w:val="0000FF"/>
              </w:rPr>
            </w:pPr>
            <w:hyperlink w:anchor="page140">
              <w:r>
                <w:rPr>
                  <w:rFonts w:ascii="Arial" w:cs="Arial" w:eastAsia="Arial" w:hAnsi="Arial"/>
                  <w:sz w:val="15"/>
                  <w:szCs w:val="15"/>
                  <w:color w:val="0000FF"/>
                </w:rPr>
                <w:t>Sarbanes-Oxley Act of 2002.</w:t>
              </w:r>
            </w:hyperlink>
          </w:p>
        </w:tc>
        <w:tc>
          <w:tcPr>
            <w:tcW w:w="820" w:type="dxa"/>
            <w:vAlign w:val="bottom"/>
            <w:gridSpan w:val="8"/>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financial statements from the Company's Annual Report on</w:t>
      </w:r>
    </w:p>
    <w:p>
      <w:pPr>
        <w:ind w:left="1000"/>
        <w:spacing w:after="0" w:line="205" w:lineRule="auto"/>
        <w:rPr>
          <w:sz w:val="20"/>
          <w:szCs w:val="20"/>
          <w:color w:val="auto"/>
        </w:rPr>
      </w:pPr>
      <w:r>
        <w:rPr>
          <w:rFonts w:ascii="Arial" w:cs="Arial" w:eastAsia="Arial" w:hAnsi="Arial"/>
          <w:sz w:val="16"/>
          <w:szCs w:val="16"/>
          <w:color w:val="auto"/>
        </w:rPr>
        <w:t>Form 10-K for the fiscal year ended December 31, 2021, formatted in Inline</w:t>
      </w:r>
    </w:p>
    <w:p>
      <w:pPr>
        <w:ind w:left="1000"/>
        <w:spacing w:after="0" w:line="205" w:lineRule="auto"/>
        <w:rPr>
          <w:sz w:val="20"/>
          <w:szCs w:val="20"/>
          <w:color w:val="auto"/>
        </w:rPr>
      </w:pPr>
      <w:r>
        <w:rPr>
          <w:rFonts w:ascii="Arial" w:cs="Arial" w:eastAsia="Arial" w:hAnsi="Arial"/>
          <w:sz w:val="16"/>
          <w:szCs w:val="16"/>
          <w:color w:val="auto"/>
        </w:rPr>
        <w:t>XBRL: (i) Consolidated Balance Sheets, (ii) Consolidated Statement of</w:t>
      </w:r>
    </w:p>
    <w:p>
      <w:pPr>
        <w:ind w:left="1000" w:right="5400" w:hanging="687"/>
        <w:spacing w:after="0" w:line="214"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Operations, (iii) Consolidated Statements of Comprehensive Income (Loss), (iv) Consolidated Statement of Cash Flows, (v) Consolidated Statements of Stockholders' (Deficit) Equity, and (vi) Notes to Consolidated Financial Statements.</w:t>
      </w:r>
    </w:p>
    <w:p>
      <w:pPr>
        <w:spacing w:after="0" w:line="261" w:lineRule="exact"/>
        <w:rPr>
          <w:sz w:val="20"/>
          <w:szCs w:val="20"/>
          <w:color w:val="auto"/>
        </w:rPr>
      </w:pPr>
    </w:p>
    <w:p>
      <w:pPr>
        <w:ind w:left="1000" w:right="5320" w:hanging="687"/>
        <w:spacing w:after="0" w:line="182" w:lineRule="auto"/>
        <w:tabs>
          <w:tab w:leader="none" w:pos="1000" w:val="left"/>
        </w:tabs>
        <w:numPr>
          <w:ilvl w:val="1"/>
          <w:numId w:val="46"/>
        </w:numPr>
        <w:rPr>
          <w:rFonts w:ascii="Arial" w:cs="Arial" w:eastAsia="Arial" w:hAnsi="Arial"/>
          <w:sz w:val="27"/>
          <w:szCs w:val="27"/>
          <w:color w:val="auto"/>
          <w:vertAlign w:val="subscript"/>
        </w:rPr>
      </w:pPr>
      <w:r>
        <w:rPr>
          <w:rFonts w:ascii="Arial" w:cs="Arial" w:eastAsia="Arial" w:hAnsi="Arial"/>
          <w:sz w:val="14"/>
          <w:szCs w:val="14"/>
          <w:color w:val="auto"/>
        </w:rPr>
        <w:t>Cover Page Interactive Data File (formatted as inline XBRL and contained in Exhibit 101)</w:t>
      </w:r>
    </w:p>
    <w:p>
      <w:pPr>
        <w:spacing w:after="0" w:line="387" w:lineRule="exact"/>
        <w:rPr>
          <w:rFonts w:ascii="Arial" w:cs="Arial" w:eastAsia="Arial" w:hAnsi="Arial"/>
          <w:sz w:val="27"/>
          <w:szCs w:val="27"/>
          <w:color w:val="auto"/>
          <w:vertAlign w:val="subscript"/>
        </w:rPr>
      </w:pPr>
    </w:p>
    <w:p>
      <w:pPr>
        <w:ind w:left="20"/>
        <w:spacing w:after="0"/>
        <w:rPr>
          <w:rFonts w:ascii="Arial" w:cs="Arial" w:eastAsia="Arial" w:hAnsi="Arial"/>
          <w:sz w:val="27"/>
          <w:szCs w:val="27"/>
          <w:color w:val="auto"/>
          <w:vertAlign w:val="subscript"/>
        </w:rPr>
      </w:pPr>
      <w:r>
        <w:rPr>
          <w:rFonts w:ascii="Arial" w:cs="Arial" w:eastAsia="Arial" w:hAnsi="Arial"/>
          <w:sz w:val="17"/>
          <w:szCs w:val="17"/>
          <w:color w:val="auto"/>
        </w:rPr>
        <w:t>*</w:t>
      </w:r>
      <w:r>
        <w:rPr>
          <w:rFonts w:ascii="Arial" w:cs="Arial" w:eastAsia="Arial" w:hAnsi="Arial"/>
          <w:sz w:val="13"/>
          <w:szCs w:val="13"/>
          <w:color w:val="auto"/>
        </w:rPr>
        <w:t>Filed herewith.</w:t>
      </w:r>
    </w:p>
    <w:p>
      <w:pPr>
        <w:spacing w:after="0" w:line="30" w:lineRule="exact"/>
        <w:rPr>
          <w:sz w:val="20"/>
          <w:szCs w:val="20"/>
          <w:color w:val="auto"/>
        </w:rPr>
      </w:pPr>
    </w:p>
    <w:p>
      <w:pPr>
        <w:ind w:left="460" w:hanging="438"/>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6"/>
          <w:szCs w:val="16"/>
          <w:color w:val="auto"/>
        </w:rPr>
        <w:t>Indicates management contract or compensatory plan.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certifications attached as Exhibit 32.1 that accompany this Annual Report on Form 10-K are deemed furnished and not filed with the Securities and Exchange</w:t>
      </w:r>
    </w:p>
    <w:p>
      <w:pPr>
        <w:ind w:left="460" w:hanging="438"/>
        <w:spacing w:after="0" w:line="311" w:lineRule="auto"/>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500" w:firstLine="433"/>
        <w:spacing w:after="0" w:line="360"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18, 2022.</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DROPBOX, INC.</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7"/>
                <w:szCs w:val="17"/>
                <w:color w:val="auto"/>
              </w:rPr>
              <w:t>By:</w:t>
            </w:r>
          </w:p>
        </w:tc>
        <w:tc>
          <w:tcPr>
            <w:tcW w:w="9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W. Houston</w:t>
            </w:r>
          </w:p>
        </w:tc>
      </w:tr>
      <w:tr>
        <w:trPr>
          <w:trHeight w:val="216"/>
        </w:trPr>
        <w:tc>
          <w:tcPr>
            <w:tcW w:w="12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7"/>
                <w:szCs w:val="17"/>
                <w:color w:val="auto"/>
              </w:rPr>
              <w:t>Andrew W. Houston</w:t>
            </w:r>
          </w:p>
        </w:tc>
      </w:tr>
      <w:tr>
        <w:trPr>
          <w:trHeight w:val="223"/>
        </w:trPr>
        <w:tc>
          <w:tcPr>
            <w:tcW w:w="124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6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and Timothy J. Regan,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5"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by the following persons on behalf of the Company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1983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275"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Andrew W. Houston</w:t>
      </w:r>
    </w:p>
    <w:p>
      <w:pPr>
        <w:jc w:val="center"/>
        <w:ind w:left="380"/>
        <w:spacing w:after="0"/>
        <w:rPr>
          <w:sz w:val="20"/>
          <w:szCs w:val="20"/>
          <w:color w:val="auto"/>
        </w:rPr>
      </w:pPr>
      <w:r>
        <w:rPr>
          <w:rFonts w:ascii="Arial" w:cs="Arial" w:eastAsia="Arial" w:hAnsi="Arial"/>
          <w:sz w:val="17"/>
          <w:szCs w:val="17"/>
          <w:color w:val="auto"/>
        </w:rPr>
        <w:t>Andrew W. Houston</w:t>
      </w:r>
    </w:p>
    <w:p>
      <w:pPr>
        <w:spacing w:after="0" w:line="27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Timothy J. Regan</w:t>
      </w:r>
    </w:p>
    <w:p>
      <w:pPr>
        <w:ind w:left="1120"/>
        <w:spacing w:after="0"/>
        <w:rPr>
          <w:sz w:val="20"/>
          <w:szCs w:val="20"/>
          <w:color w:val="auto"/>
        </w:rPr>
      </w:pPr>
      <w:r>
        <w:rPr>
          <w:rFonts w:ascii="Arial" w:cs="Arial" w:eastAsia="Arial" w:hAnsi="Arial"/>
          <w:sz w:val="17"/>
          <w:szCs w:val="17"/>
          <w:color w:val="auto"/>
        </w:rPr>
        <w:t>Timothy J. Regan</w:t>
      </w:r>
    </w:p>
    <w:p>
      <w:pPr>
        <w:spacing w:after="0" w:line="26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Donald W. Blair</w:t>
      </w:r>
    </w:p>
    <w:p>
      <w:pPr>
        <w:jc w:val="center"/>
        <w:ind w:left="380"/>
        <w:spacing w:after="0"/>
        <w:rPr>
          <w:sz w:val="20"/>
          <w:szCs w:val="20"/>
          <w:color w:val="auto"/>
        </w:rPr>
      </w:pPr>
      <w:r>
        <w:rPr>
          <w:rFonts w:ascii="Arial" w:cs="Arial" w:eastAsia="Arial" w:hAnsi="Arial"/>
          <w:sz w:val="17"/>
          <w:szCs w:val="17"/>
          <w:color w:val="auto"/>
        </w:rPr>
        <w:t>Donald W. Blair</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Lisa Campbell</w:t>
      </w:r>
    </w:p>
    <w:p>
      <w:pPr>
        <w:ind w:left="1220"/>
        <w:spacing w:after="0"/>
        <w:rPr>
          <w:sz w:val="20"/>
          <w:szCs w:val="20"/>
          <w:color w:val="auto"/>
        </w:rPr>
      </w:pPr>
      <w:r>
        <w:rPr>
          <w:rFonts w:ascii="Arial" w:cs="Arial" w:eastAsia="Arial" w:hAnsi="Arial"/>
          <w:sz w:val="17"/>
          <w:szCs w:val="17"/>
          <w:color w:val="auto"/>
        </w:rPr>
        <w:t>Lisa Campbell</w:t>
      </w:r>
    </w:p>
    <w:p>
      <w:pPr>
        <w:spacing w:after="0" w:line="2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Paul E. Jacobs</w:t>
      </w:r>
    </w:p>
    <w:p>
      <w:pPr>
        <w:jc w:val="center"/>
        <w:ind w:left="380"/>
        <w:spacing w:after="0"/>
        <w:rPr>
          <w:sz w:val="20"/>
          <w:szCs w:val="20"/>
          <w:color w:val="auto"/>
        </w:rPr>
      </w:pPr>
      <w:r>
        <w:rPr>
          <w:rFonts w:ascii="Arial" w:cs="Arial" w:eastAsia="Arial" w:hAnsi="Arial"/>
          <w:sz w:val="17"/>
          <w:szCs w:val="17"/>
          <w:color w:val="auto"/>
        </w:rPr>
        <w:t>Paul E. Jacobs</w:t>
      </w:r>
    </w:p>
    <w:p>
      <w:pPr>
        <w:spacing w:after="0" w:line="26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Sara Mathew</w:t>
      </w:r>
    </w:p>
    <w:p>
      <w:pPr>
        <w:jc w:val="center"/>
        <w:ind w:left="380"/>
        <w:spacing w:after="0"/>
        <w:rPr>
          <w:sz w:val="20"/>
          <w:szCs w:val="20"/>
          <w:color w:val="auto"/>
        </w:rPr>
      </w:pPr>
      <w:r>
        <w:rPr>
          <w:rFonts w:ascii="Arial" w:cs="Arial" w:eastAsia="Arial" w:hAnsi="Arial"/>
          <w:sz w:val="17"/>
          <w:szCs w:val="17"/>
          <w:color w:val="auto"/>
        </w:rPr>
        <w:t>Sara Mathew</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 Karen A. Peacock</w:t>
      </w:r>
    </w:p>
    <w:p>
      <w:pPr>
        <w:ind w:left="1100"/>
        <w:spacing w:after="0"/>
        <w:rPr>
          <w:sz w:val="20"/>
          <w:szCs w:val="20"/>
          <w:color w:val="auto"/>
        </w:rPr>
      </w:pPr>
      <w:r>
        <w:rPr>
          <w:rFonts w:ascii="Arial" w:cs="Arial" w:eastAsia="Arial" w:hAnsi="Arial"/>
          <w:sz w:val="17"/>
          <w:szCs w:val="17"/>
          <w:color w:val="auto"/>
        </w:rPr>
        <w:t>Karen A. Peacock</w:t>
      </w:r>
    </w:p>
    <w:p>
      <w:pPr>
        <w:spacing w:after="0" w:line="26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Michael Seibel</w:t>
      </w:r>
    </w:p>
    <w:p>
      <w:pPr>
        <w:jc w:val="center"/>
        <w:ind w:left="380"/>
        <w:spacing w:after="0"/>
        <w:rPr>
          <w:sz w:val="20"/>
          <w:szCs w:val="20"/>
          <w:color w:val="auto"/>
        </w:rPr>
      </w:pPr>
      <w:r>
        <w:rPr>
          <w:rFonts w:ascii="Arial" w:cs="Arial" w:eastAsia="Arial" w:hAnsi="Arial"/>
          <w:sz w:val="17"/>
          <w:szCs w:val="17"/>
          <w:color w:val="auto"/>
        </w:rPr>
        <w:t>Michael Seibel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1311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Chairman</w:t>
      </w:r>
    </w:p>
    <w:p>
      <w:pPr>
        <w:spacing w:after="0"/>
        <w:rPr>
          <w:sz w:val="20"/>
          <w:szCs w:val="20"/>
          <w:color w:val="auto"/>
        </w:rPr>
      </w:pPr>
      <w:r>
        <w:rPr>
          <w:rFonts w:ascii="Arial" w:cs="Arial" w:eastAsia="Arial" w:hAnsi="Arial"/>
          <w:sz w:val="17"/>
          <w:szCs w:val="17"/>
          <w:i w:val="1"/>
          <w:iCs w:val="1"/>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rPr>
          <w:sz w:val="20"/>
          <w:szCs w:val="20"/>
          <w:color w:val="auto"/>
        </w:rPr>
      </w:pPr>
      <w:r>
        <w:rPr>
          <w:rFonts w:ascii="Arial" w:cs="Arial" w:eastAsia="Arial" w:hAnsi="Arial"/>
          <w:sz w:val="16"/>
          <w:szCs w:val="16"/>
          <w:i w:val="1"/>
          <w:iCs w:val="1"/>
          <w:color w:val="auto"/>
        </w:rPr>
        <w:t>(Principal Accounting and Financial Officer)</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20320</wp:posOffset>
            </wp:positionV>
            <wp:extent cx="13239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18, 2022</w:t>
      </w:r>
    </w:p>
    <w:p>
      <w:pPr>
        <w:sectPr>
          <w:pgSz w:w="11900" w:h="16838" w:orient="portrait"/>
          <w:cols w:equalWidth="0" w:num="3">
            <w:col w:w="3100" w:space="720"/>
            <w:col w:w="5000" w:space="720"/>
            <w:col w:w="1280"/>
          </w:cols>
          <w:pgMar w:left="320" w:top="129" w:right="759" w:bottom="1440" w:gutter="0" w:footer="0" w:header="0"/>
        </w:sectPr>
      </w:pPr>
    </w:p>
    <w:bookmarkStart w:id="115" w:name="page116"/>
    <w:bookmarkEnd w:id="115"/>
    <w:p>
      <w:pPr>
        <w:spacing w:after="0" w:line="15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10.26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EIGHTH AMENDMENT TO OFFICE LEASE</w:t>
      </w:r>
    </w:p>
    <w:p>
      <w:pPr>
        <w:spacing w:after="0" w:line="5" w:lineRule="exact"/>
        <w:rPr>
          <w:sz w:val="20"/>
          <w:szCs w:val="20"/>
          <w:color w:val="auto"/>
        </w:rPr>
      </w:pPr>
    </w:p>
    <w:p>
      <w:pPr>
        <w:jc w:val="both"/>
        <w:ind w:firstLine="629"/>
        <w:spacing w:after="0" w:line="221" w:lineRule="auto"/>
        <w:rPr>
          <w:sz w:val="20"/>
          <w:szCs w:val="20"/>
          <w:color w:val="auto"/>
        </w:rPr>
      </w:pPr>
      <w:r>
        <w:rPr>
          <w:rFonts w:ascii="Arial" w:cs="Arial" w:eastAsia="Arial" w:hAnsi="Arial"/>
          <w:sz w:val="21"/>
          <w:szCs w:val="21"/>
          <w:b w:val="1"/>
          <w:bCs w:val="1"/>
          <w:color w:val="auto"/>
        </w:rPr>
        <w:t xml:space="preserve">THIS EIGHTH AMENDMENT TO OFFICE LEASE </w:t>
      </w:r>
      <w:r>
        <w:rPr>
          <w:rFonts w:ascii="Arial" w:cs="Arial" w:eastAsia="Arial" w:hAnsi="Arial"/>
          <w:sz w:val="21"/>
          <w:szCs w:val="21"/>
          <w:color w:val="auto"/>
        </w:rPr>
        <w:t>(this “</w:t>
      </w:r>
      <w:r>
        <w:rPr>
          <w:rFonts w:ascii="Arial" w:cs="Arial" w:eastAsia="Arial" w:hAnsi="Arial"/>
          <w:sz w:val="21"/>
          <w:szCs w:val="21"/>
          <w:b w:val="1"/>
          <w:bCs w:val="1"/>
          <w:color w:val="auto"/>
        </w:rPr>
        <w:t>Eighth Amendment</w:t>
      </w:r>
      <w:r>
        <w:rPr>
          <w:rFonts w:ascii="Arial" w:cs="Arial" w:eastAsia="Arial" w:hAnsi="Arial"/>
          <w:sz w:val="21"/>
          <w:szCs w:val="21"/>
          <w:color w:val="auto"/>
        </w:rPr>
        <w:t>”) is made and entered into as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November 1, 2021, by and between </w:t>
      </w:r>
      <w:r>
        <w:rPr>
          <w:rFonts w:ascii="Arial" w:cs="Arial" w:eastAsia="Arial" w:hAnsi="Arial"/>
          <w:sz w:val="21"/>
          <w:szCs w:val="21"/>
          <w:b w:val="1"/>
          <w:bCs w:val="1"/>
          <w:color w:val="auto"/>
        </w:rPr>
        <w:t>KRE EXCHANGE OWNER LLC</w:t>
      </w:r>
      <w:r>
        <w:rPr>
          <w:rFonts w:ascii="Arial" w:cs="Arial" w:eastAsia="Arial" w:hAnsi="Arial"/>
          <w:sz w:val="21"/>
          <w:szCs w:val="21"/>
          <w:color w:val="auto"/>
        </w:rPr>
        <w:t>, a Delaware limited liability company (“</w:t>
      </w:r>
      <w:r>
        <w:rPr>
          <w:rFonts w:ascii="Arial" w:cs="Arial" w:eastAsia="Arial" w:hAnsi="Arial"/>
          <w:sz w:val="21"/>
          <w:szCs w:val="21"/>
          <w:b w:val="1"/>
          <w:bCs w:val="1"/>
          <w:color w:val="auto"/>
        </w:rPr>
        <w:t>Landlord</w:t>
      </w:r>
      <w:r>
        <w:rPr>
          <w:rFonts w:ascii="Arial" w:cs="Arial" w:eastAsia="Arial" w:hAnsi="Arial"/>
          <w:sz w:val="21"/>
          <w:szCs w:val="21"/>
          <w:color w:val="auto"/>
        </w:rPr>
        <w:t xml:space="preserve">”), and </w:t>
      </w:r>
      <w:r>
        <w:rPr>
          <w:rFonts w:ascii="Arial" w:cs="Arial" w:eastAsia="Arial" w:hAnsi="Arial"/>
          <w:sz w:val="21"/>
          <w:szCs w:val="21"/>
          <w:b w:val="1"/>
          <w:bCs w:val="1"/>
          <w:color w:val="auto"/>
        </w:rPr>
        <w:t>DROPBOX, INC.</w:t>
      </w:r>
      <w:r>
        <w:rPr>
          <w:rFonts w:ascii="Arial" w:cs="Arial" w:eastAsia="Arial" w:hAnsi="Arial"/>
          <w:sz w:val="21"/>
          <w:szCs w:val="21"/>
          <w:color w:val="auto"/>
        </w:rPr>
        <w:t>, a Delaware corporation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84" w:lineRule="exact"/>
        <w:rPr>
          <w:sz w:val="20"/>
          <w:szCs w:val="20"/>
          <w:color w:val="auto"/>
        </w:rPr>
      </w:pPr>
    </w:p>
    <w:p>
      <w:pPr>
        <w:jc w:val="both"/>
        <w:ind w:firstLine="634"/>
        <w:spacing w:after="0" w:line="235" w:lineRule="auto"/>
        <w:tabs>
          <w:tab w:leader="none" w:pos="1253" w:val="left"/>
        </w:tabs>
        <w:numPr>
          <w:ilvl w:val="1"/>
          <w:numId w:val="49"/>
        </w:numPr>
        <w:rPr>
          <w:rFonts w:ascii="Arial" w:cs="Arial" w:eastAsia="Arial" w:hAnsi="Arial"/>
          <w:sz w:val="19"/>
          <w:szCs w:val="19"/>
          <w:color w:val="auto"/>
        </w:rPr>
      </w:pPr>
      <w:r>
        <w:rPr>
          <w:rFonts w:ascii="Arial" w:cs="Arial" w:eastAsia="Arial" w:hAnsi="Arial"/>
          <w:sz w:val="19"/>
          <w:szCs w:val="19"/>
          <w:color w:val="auto"/>
        </w:rPr>
        <w:t>Landlord (as successor by assignment from KR Mission Bay, LLC, a Delaware limited liability company) and Tenant are parties to that certain Office Lease dated as of October 6, 2017 (the “</w:t>
      </w:r>
      <w:r>
        <w:rPr>
          <w:rFonts w:ascii="Arial" w:cs="Arial" w:eastAsia="Arial" w:hAnsi="Arial"/>
          <w:sz w:val="19"/>
          <w:szCs w:val="19"/>
          <w:b w:val="1"/>
          <w:bCs w:val="1"/>
          <w:color w:val="auto"/>
        </w:rPr>
        <w:t>Original Lease</w:t>
      </w:r>
      <w:r>
        <w:rPr>
          <w:rFonts w:ascii="Arial" w:cs="Arial" w:eastAsia="Arial" w:hAnsi="Arial"/>
          <w:sz w:val="19"/>
          <w:szCs w:val="19"/>
          <w:color w:val="auto"/>
        </w:rPr>
        <w:t>”), as amended by that certain (i) First Amendment to Office Lease dated May 18, 2018 (the “</w:t>
      </w:r>
      <w:r>
        <w:rPr>
          <w:rFonts w:ascii="Arial" w:cs="Arial" w:eastAsia="Arial" w:hAnsi="Arial"/>
          <w:sz w:val="19"/>
          <w:szCs w:val="19"/>
          <w:b w:val="1"/>
          <w:bCs w:val="1"/>
          <w:color w:val="auto"/>
        </w:rPr>
        <w:t>First Amendment</w:t>
      </w:r>
      <w:r>
        <w:rPr>
          <w:rFonts w:ascii="Arial" w:cs="Arial" w:eastAsia="Arial" w:hAnsi="Arial"/>
          <w:sz w:val="19"/>
          <w:szCs w:val="19"/>
          <w:color w:val="auto"/>
        </w:rPr>
        <w:t>”), (ii) Second Amendment to Office Lease dated May 25, 2018 (the “</w:t>
      </w:r>
      <w:r>
        <w:rPr>
          <w:rFonts w:ascii="Arial" w:cs="Arial" w:eastAsia="Arial" w:hAnsi="Arial"/>
          <w:sz w:val="19"/>
          <w:szCs w:val="19"/>
          <w:b w:val="1"/>
          <w:bCs w:val="1"/>
          <w:color w:val="auto"/>
        </w:rPr>
        <w:t>Second Amendment</w:t>
      </w:r>
      <w:r>
        <w:rPr>
          <w:rFonts w:ascii="Arial" w:cs="Arial" w:eastAsia="Arial" w:hAnsi="Arial"/>
          <w:sz w:val="19"/>
          <w:szCs w:val="19"/>
          <w:color w:val="auto"/>
        </w:rPr>
        <w:t>”), (iii) Third Amendment to Office Lease dated September 19, 2018 (the “</w:t>
      </w:r>
      <w:r>
        <w:rPr>
          <w:rFonts w:ascii="Arial" w:cs="Arial" w:eastAsia="Arial" w:hAnsi="Arial"/>
          <w:sz w:val="19"/>
          <w:szCs w:val="19"/>
          <w:b w:val="1"/>
          <w:bCs w:val="1"/>
          <w:color w:val="auto"/>
        </w:rPr>
        <w:t>Third Amendment</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5"/>
        <w:spacing w:after="0" w:line="215" w:lineRule="auto"/>
        <w:tabs>
          <w:tab w:leader="none" w:pos="358" w:val="left"/>
        </w:tabs>
        <w:numPr>
          <w:ilvl w:val="0"/>
          <w:numId w:val="50"/>
        </w:numPr>
        <w:rPr>
          <w:rFonts w:ascii="Arial" w:cs="Arial" w:eastAsia="Arial" w:hAnsi="Arial"/>
          <w:sz w:val="21"/>
          <w:szCs w:val="21"/>
          <w:color w:val="auto"/>
        </w:rPr>
      </w:pPr>
      <w:r>
        <w:rPr>
          <w:rFonts w:ascii="Arial" w:cs="Arial" w:eastAsia="Arial" w:hAnsi="Arial"/>
          <w:sz w:val="21"/>
          <w:szCs w:val="21"/>
          <w:color w:val="auto"/>
        </w:rPr>
        <w:t>Fourth Amendment to Office Lease dated November 9, 2018 (the “</w:t>
      </w:r>
      <w:r>
        <w:rPr>
          <w:rFonts w:ascii="Arial" w:cs="Arial" w:eastAsia="Arial" w:hAnsi="Arial"/>
          <w:sz w:val="21"/>
          <w:szCs w:val="21"/>
          <w:b w:val="1"/>
          <w:bCs w:val="1"/>
          <w:color w:val="auto"/>
        </w:rPr>
        <w:t>Fourth Amendment</w:t>
      </w:r>
      <w:r>
        <w:rPr>
          <w:rFonts w:ascii="Arial" w:cs="Arial" w:eastAsia="Arial" w:hAnsi="Arial"/>
          <w:sz w:val="21"/>
          <w:szCs w:val="21"/>
          <w:color w:val="auto"/>
        </w:rPr>
        <w:t>”), (v) Fifth Amendment to Office Lease dated April 25, 2019 (the “</w:t>
      </w:r>
      <w:r>
        <w:rPr>
          <w:rFonts w:ascii="Arial" w:cs="Arial" w:eastAsia="Arial" w:hAnsi="Arial"/>
          <w:sz w:val="21"/>
          <w:szCs w:val="21"/>
          <w:b w:val="1"/>
          <w:bCs w:val="1"/>
          <w:color w:val="auto"/>
        </w:rPr>
        <w:t>Fifth Amendment</w:t>
      </w:r>
      <w:r>
        <w:rPr>
          <w:rFonts w:ascii="Arial" w:cs="Arial" w:eastAsia="Arial" w:hAnsi="Arial"/>
          <w:sz w:val="21"/>
          <w:szCs w:val="21"/>
          <w:color w:val="auto"/>
        </w:rPr>
        <w:t>”), (vi) Sixth Amendment to Office Lease dated August 16, 2019 (the “</w:t>
      </w:r>
      <w:r>
        <w:rPr>
          <w:rFonts w:ascii="Arial" w:cs="Arial" w:eastAsia="Arial" w:hAnsi="Arial"/>
          <w:sz w:val="21"/>
          <w:szCs w:val="21"/>
          <w:b w:val="1"/>
          <w:bCs w:val="1"/>
          <w:color w:val="auto"/>
        </w:rPr>
        <w:t>Sixth</w:t>
      </w:r>
      <w:r>
        <w:rPr>
          <w:rFonts w:ascii="Arial" w:cs="Arial" w:eastAsia="Arial" w:hAnsi="Arial"/>
          <w:sz w:val="21"/>
          <w:szCs w:val="21"/>
          <w:color w:val="auto"/>
        </w:rPr>
        <w:t xml:space="preserve"> </w:t>
      </w:r>
      <w:r>
        <w:rPr>
          <w:rFonts w:ascii="Arial" w:cs="Arial" w:eastAsia="Arial" w:hAnsi="Arial"/>
          <w:sz w:val="21"/>
          <w:szCs w:val="21"/>
          <w:b w:val="1"/>
          <w:bCs w:val="1"/>
          <w:color w:val="auto"/>
        </w:rPr>
        <w:t>Amendment</w:t>
      </w:r>
      <w:r>
        <w:rPr>
          <w:rFonts w:ascii="Arial" w:cs="Arial" w:eastAsia="Arial" w:hAnsi="Arial"/>
          <w:sz w:val="21"/>
          <w:szCs w:val="21"/>
          <w:color w:val="auto"/>
        </w:rPr>
        <w:t>”), and (vii) Seventh Amendment to Office Lease dated August 25, 2020 (the “</w:t>
      </w:r>
      <w:r>
        <w:rPr>
          <w:rFonts w:ascii="Arial" w:cs="Arial" w:eastAsia="Arial" w:hAnsi="Arial"/>
          <w:sz w:val="21"/>
          <w:szCs w:val="21"/>
          <w:b w:val="1"/>
          <w:bCs w:val="1"/>
          <w:color w:val="auto"/>
        </w:rPr>
        <w:t>Seventh Amendment</w:t>
      </w:r>
      <w:r>
        <w:rPr>
          <w:rFonts w:ascii="Arial" w:cs="Arial" w:eastAsia="Arial" w:hAnsi="Arial"/>
          <w:sz w:val="21"/>
          <w:szCs w:val="21"/>
          <w:color w:val="auto"/>
        </w:rPr>
        <w:t>”, together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Lease, as amended by all the foregoing amendments, the “</w:t>
      </w:r>
      <w:r>
        <w:rPr>
          <w:rFonts w:ascii="Arial" w:cs="Arial" w:eastAsia="Arial" w:hAnsi="Arial"/>
          <w:sz w:val="21"/>
          <w:szCs w:val="21"/>
          <w:b w:val="1"/>
          <w:bCs w:val="1"/>
          <w:color w:val="auto"/>
        </w:rPr>
        <w:t>Existing Lease</w:t>
      </w:r>
      <w:r>
        <w:rPr>
          <w:rFonts w:ascii="Arial" w:cs="Arial" w:eastAsia="Arial" w:hAnsi="Arial"/>
          <w:sz w:val="21"/>
          <w:szCs w:val="21"/>
          <w:color w:val="auto"/>
        </w:rPr>
        <w:t>”) for certain space consisting of approximately 738,081 rentable square feet (the “</w:t>
      </w:r>
      <w:r>
        <w:rPr>
          <w:rFonts w:ascii="Arial" w:cs="Arial" w:eastAsia="Arial" w:hAnsi="Arial"/>
          <w:sz w:val="21"/>
          <w:szCs w:val="21"/>
          <w:b w:val="1"/>
          <w:bCs w:val="1"/>
          <w:color w:val="auto"/>
        </w:rPr>
        <w:t>Existing Premises</w:t>
      </w:r>
      <w:r>
        <w:rPr>
          <w:rFonts w:ascii="Arial" w:cs="Arial" w:eastAsia="Arial" w:hAnsi="Arial"/>
          <w:sz w:val="21"/>
          <w:szCs w:val="21"/>
          <w:color w:val="auto"/>
        </w:rPr>
        <w:t>”), of that certain project commonly known as “The Exchange” and more particularly described in the Original Lease (the “</w:t>
      </w:r>
      <w:r>
        <w:rPr>
          <w:rFonts w:ascii="Arial" w:cs="Arial" w:eastAsia="Arial" w:hAnsi="Arial"/>
          <w:sz w:val="21"/>
          <w:szCs w:val="21"/>
          <w:b w:val="1"/>
          <w:bCs w:val="1"/>
          <w:color w:val="auto"/>
        </w:rPr>
        <w:t>Project</w:t>
      </w:r>
      <w:r>
        <w:rPr>
          <w:rFonts w:ascii="Arial" w:cs="Arial" w:eastAsia="Arial" w:hAnsi="Arial"/>
          <w:sz w:val="21"/>
          <w:szCs w:val="21"/>
          <w:color w:val="auto"/>
        </w:rPr>
        <w:t>”).</w:t>
      </w:r>
    </w:p>
    <w:p>
      <w:pPr>
        <w:spacing w:after="0" w:line="152" w:lineRule="exact"/>
        <w:rPr>
          <w:rFonts w:ascii="Arial" w:cs="Arial" w:eastAsia="Arial" w:hAnsi="Arial"/>
          <w:sz w:val="21"/>
          <w:szCs w:val="21"/>
          <w:color w:val="auto"/>
        </w:rPr>
      </w:pPr>
    </w:p>
    <w:p>
      <w:pPr>
        <w:jc w:val="both"/>
        <w:ind w:firstLine="634"/>
        <w:spacing w:after="0" w:line="222" w:lineRule="auto"/>
        <w:tabs>
          <w:tab w:leader="none" w:pos="1254" w:val="left"/>
        </w:tabs>
        <w:numPr>
          <w:ilvl w:val="1"/>
          <w:numId w:val="50"/>
        </w:numPr>
        <w:rPr>
          <w:rFonts w:ascii="Arial" w:cs="Arial" w:eastAsia="Arial" w:hAnsi="Arial"/>
          <w:sz w:val="21"/>
          <w:szCs w:val="21"/>
          <w:color w:val="auto"/>
        </w:rPr>
      </w:pPr>
      <w:r>
        <w:rPr>
          <w:rFonts w:ascii="Arial" w:cs="Arial" w:eastAsia="Arial" w:hAnsi="Arial"/>
          <w:sz w:val="21"/>
          <w:szCs w:val="21"/>
          <w:color w:val="auto"/>
        </w:rPr>
        <w:t>Tenant, as tenant under the Master Lease, presently subleases to VIR Biotechnology, Inc., a Delaware corporation (“</w:t>
      </w:r>
      <w:r>
        <w:rPr>
          <w:rFonts w:ascii="Arial" w:cs="Arial" w:eastAsia="Arial" w:hAnsi="Arial"/>
          <w:sz w:val="21"/>
          <w:szCs w:val="21"/>
          <w:b w:val="1"/>
          <w:bCs w:val="1"/>
          <w:color w:val="auto"/>
        </w:rPr>
        <w:t>Subtenant</w:t>
      </w:r>
      <w:r>
        <w:rPr>
          <w:rFonts w:ascii="Arial" w:cs="Arial" w:eastAsia="Arial" w:hAnsi="Arial"/>
          <w:sz w:val="21"/>
          <w:szCs w:val="21"/>
          <w:color w:val="auto"/>
        </w:rPr>
        <w:t>”), a portion of the Existing Premises pursuant to that certain Sublease dated November 4, 2020 (the “</w:t>
      </w:r>
      <w:r>
        <w:rPr>
          <w:rFonts w:ascii="Arial" w:cs="Arial" w:eastAsia="Arial" w:hAnsi="Arial"/>
          <w:sz w:val="21"/>
          <w:szCs w:val="21"/>
          <w:b w:val="1"/>
          <w:bCs w:val="1"/>
          <w:color w:val="auto"/>
        </w:rPr>
        <w:t>Sublease</w:t>
      </w:r>
      <w:r>
        <w:rPr>
          <w:rFonts w:ascii="Arial" w:cs="Arial" w:eastAsia="Arial" w:hAnsi="Arial"/>
          <w:sz w:val="21"/>
          <w:szCs w:val="21"/>
          <w:color w:val="auto"/>
        </w:rPr>
        <w:t>”). Landlord’s predecessor-in-interest, KR Mission Bay, LLC, a Delaware limited liability company, consented to the Existing Sublease pursuant to a certain Consent to Sublease made as of December 21, 2020.</w:t>
      </w:r>
    </w:p>
    <w:p>
      <w:pPr>
        <w:spacing w:after="0" w:line="149" w:lineRule="exact"/>
        <w:rPr>
          <w:rFonts w:ascii="Arial" w:cs="Arial" w:eastAsia="Arial" w:hAnsi="Arial"/>
          <w:sz w:val="21"/>
          <w:szCs w:val="21"/>
          <w:color w:val="auto"/>
        </w:rPr>
      </w:pPr>
    </w:p>
    <w:p>
      <w:pPr>
        <w:ind w:left="1260" w:hanging="626"/>
        <w:spacing w:after="0"/>
        <w:tabs>
          <w:tab w:leader="none" w:pos="126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Sublease covers floors 8, 9, 10, 11 and 12 of the North Tower (which floors constitute the “</w:t>
      </w:r>
      <w:r>
        <w:rPr>
          <w:rFonts w:ascii="Arial" w:cs="Arial" w:eastAsia="Arial" w:hAnsi="Arial"/>
          <w:sz w:val="19"/>
          <w:szCs w:val="19"/>
          <w:b w:val="1"/>
          <w:bCs w:val="1"/>
          <w:color w:val="auto"/>
        </w:rPr>
        <w:t>Subleased Premises</w:t>
      </w:r>
      <w:r>
        <w:rPr>
          <w:rFonts w:ascii="Arial" w:cs="Arial" w:eastAsia="Arial" w:hAnsi="Arial"/>
          <w:sz w:val="19"/>
          <w:szCs w:val="19"/>
          <w:color w:val="auto"/>
        </w:rPr>
        <w: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of the Project.</w:t>
      </w:r>
    </w:p>
    <w:p>
      <w:pPr>
        <w:spacing w:after="0" w:line="160" w:lineRule="exact"/>
        <w:rPr>
          <w:rFonts w:ascii="Arial" w:cs="Arial" w:eastAsia="Arial" w:hAnsi="Arial"/>
          <w:sz w:val="19"/>
          <w:szCs w:val="19"/>
          <w:color w:val="auto"/>
        </w:rPr>
      </w:pPr>
    </w:p>
    <w:p>
      <w:pPr>
        <w:ind w:firstLine="634"/>
        <w:spacing w:after="0" w:line="236" w:lineRule="auto"/>
        <w:tabs>
          <w:tab w:leader="none" w:pos="1253" w:val="left"/>
        </w:tabs>
        <w:numPr>
          <w:ilvl w:val="1"/>
          <w:numId w:val="50"/>
        </w:numPr>
        <w:rPr>
          <w:rFonts w:ascii="Arial" w:cs="Arial" w:eastAsia="Arial" w:hAnsi="Arial"/>
          <w:sz w:val="21"/>
          <w:szCs w:val="21"/>
          <w:color w:val="auto"/>
        </w:rPr>
      </w:pPr>
      <w:r>
        <w:rPr>
          <w:rFonts w:ascii="Arial" w:cs="Arial" w:eastAsia="Arial" w:hAnsi="Arial"/>
          <w:sz w:val="21"/>
          <w:szCs w:val="21"/>
          <w:color w:val="auto"/>
        </w:rPr>
        <w:t>Subtenant desires to lease the Subleased Premises directly from Landlord, terminating the Sublease and replacing it with a direct lease (the “</w:t>
      </w:r>
      <w:r>
        <w:rPr>
          <w:rFonts w:ascii="Arial" w:cs="Arial" w:eastAsia="Arial" w:hAnsi="Arial"/>
          <w:sz w:val="21"/>
          <w:szCs w:val="21"/>
          <w:b w:val="1"/>
          <w:bCs w:val="1"/>
          <w:color w:val="auto"/>
        </w:rPr>
        <w:t>Direct Lease</w:t>
      </w:r>
      <w:r>
        <w:rPr>
          <w:rFonts w:ascii="Arial" w:cs="Arial" w:eastAsia="Arial" w:hAnsi="Arial"/>
          <w:sz w:val="21"/>
          <w:szCs w:val="21"/>
          <w:color w:val="auto"/>
        </w:rPr>
        <w:t>”) thereby eliminating Tenant from its role as sublandlord to Subtenant.</w:t>
      </w:r>
    </w:p>
    <w:p>
      <w:pPr>
        <w:spacing w:after="0" w:line="154" w:lineRule="exact"/>
        <w:rPr>
          <w:rFonts w:ascii="Arial" w:cs="Arial" w:eastAsia="Arial" w:hAnsi="Arial"/>
          <w:sz w:val="21"/>
          <w:szCs w:val="21"/>
          <w:color w:val="auto"/>
        </w:rPr>
      </w:pPr>
    </w:p>
    <w:p>
      <w:pPr>
        <w:jc w:val="both"/>
        <w:ind w:firstLine="634"/>
        <w:spacing w:after="0" w:line="216" w:lineRule="auto"/>
        <w:tabs>
          <w:tab w:leader="none" w:pos="1256" w:val="left"/>
        </w:tabs>
        <w:numPr>
          <w:ilvl w:val="1"/>
          <w:numId w:val="50"/>
        </w:numPr>
        <w:rPr>
          <w:rFonts w:ascii="Arial" w:cs="Arial" w:eastAsia="Arial" w:hAnsi="Arial"/>
          <w:sz w:val="21"/>
          <w:szCs w:val="21"/>
          <w:color w:val="auto"/>
        </w:rPr>
      </w:pPr>
      <w:r>
        <w:rPr>
          <w:rFonts w:ascii="Arial" w:cs="Arial" w:eastAsia="Arial" w:hAnsi="Arial"/>
          <w:sz w:val="21"/>
          <w:szCs w:val="21"/>
          <w:color w:val="auto"/>
        </w:rPr>
        <w:t>Tenant and Landlord have agreed that, effective as of 12:01 am on the Lease Commencement Date of the Direct Lease (the “</w:t>
      </w:r>
      <w:r>
        <w:rPr>
          <w:rFonts w:ascii="Arial" w:cs="Arial" w:eastAsia="Arial" w:hAnsi="Arial"/>
          <w:sz w:val="21"/>
          <w:szCs w:val="21"/>
          <w:b w:val="1"/>
          <w:bCs w:val="1"/>
          <w:color w:val="auto"/>
        </w:rPr>
        <w:t>Give-Back Date</w:t>
      </w:r>
      <w:r>
        <w:rPr>
          <w:rFonts w:ascii="Arial" w:cs="Arial" w:eastAsia="Arial" w:hAnsi="Arial"/>
          <w:sz w:val="21"/>
          <w:szCs w:val="21"/>
          <w:color w:val="auto"/>
        </w:rPr>
        <w:t xml:space="preserve">”), Tenant will downsize the Existing Premises by surrendering to Landlord floors 8, 9, 10, 11 and 12 of the North Tower (i.e., approximately 133,896 rentable square feet of the Existing Premises), as designated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(the “</w:t>
      </w:r>
      <w:r>
        <w:rPr>
          <w:rFonts w:ascii="Arial" w:cs="Arial" w:eastAsia="Arial" w:hAnsi="Arial"/>
          <w:sz w:val="21"/>
          <w:szCs w:val="21"/>
          <w:b w:val="1"/>
          <w:bCs w:val="1"/>
          <w:color w:val="auto"/>
        </w:rPr>
        <w:t>Give-Back Space</w:t>
      </w:r>
      <w:r>
        <w:rPr>
          <w:rFonts w:ascii="Arial" w:cs="Arial" w:eastAsia="Arial" w:hAnsi="Arial"/>
          <w:sz w:val="21"/>
          <w:szCs w:val="21"/>
          <w:color w:val="auto"/>
        </w:rPr>
        <w:t>”), and Landlord and Tenant hereby acknowledge that the Give-back Space is co-extensive with and the same as the Subleased Premises and that those terms are used interchangeably in this Eighth Amendment), in accordance with the terms hereof. From and after the Give-Back Date, Tenant will lease approximately 604,185 rentable square feet of space in the Project (the “</w:t>
      </w:r>
      <w:r>
        <w:rPr>
          <w:rFonts w:ascii="Arial" w:cs="Arial" w:eastAsia="Arial" w:hAnsi="Arial"/>
          <w:sz w:val="21"/>
          <w:szCs w:val="21"/>
          <w:b w:val="1"/>
          <w:bCs w:val="1"/>
          <w:color w:val="auto"/>
        </w:rPr>
        <w:t>Remaining Premises</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ind w:firstLine="634"/>
        <w:spacing w:after="0" w:line="236" w:lineRule="auto"/>
        <w:tabs>
          <w:tab w:leader="none" w:pos="1241" w:val="left"/>
        </w:tabs>
        <w:numPr>
          <w:ilvl w:val="1"/>
          <w:numId w:val="50"/>
        </w:numPr>
        <w:rPr>
          <w:rFonts w:ascii="Arial" w:cs="Arial" w:eastAsia="Arial" w:hAnsi="Arial"/>
          <w:sz w:val="21"/>
          <w:szCs w:val="21"/>
          <w:color w:val="auto"/>
        </w:rPr>
      </w:pPr>
      <w:r>
        <w:rPr>
          <w:rFonts w:ascii="Arial" w:cs="Arial" w:eastAsia="Arial" w:hAnsi="Arial"/>
          <w:sz w:val="21"/>
          <w:szCs w:val="21"/>
          <w:color w:val="auto"/>
        </w:rPr>
        <w:t>Landlord and Tenant further desire to amend the Existing Lease to modify certain provisions thereof in order to document the nature of the Project as no longer a single-tenant</w:t>
      </w:r>
    </w:p>
    <w:p>
      <w:pPr>
        <w:sectPr>
          <w:pgSz w:w="11900" w:h="16838" w:orient="portrait"/>
          <w:cols w:equalWidth="0" w:num="1">
            <w:col w:w="11240"/>
          </w:cols>
          <w:pgMar w:left="320" w:top="1440" w:right="339" w:bottom="1440" w:gutter="0" w:footer="0" w:header="0"/>
        </w:sectPr>
      </w:pPr>
    </w:p>
    <w:bookmarkStart w:id="116" w:name="page117"/>
    <w:bookmarkEnd w:id="116"/>
    <w:p>
      <w:pPr>
        <w:spacing w:after="0"/>
        <w:rPr>
          <w:sz w:val="20"/>
          <w:szCs w:val="20"/>
          <w:color w:val="auto"/>
        </w:rPr>
      </w:pPr>
      <w:r>
        <w:rPr>
          <w:rFonts w:ascii="Arial" w:cs="Arial" w:eastAsia="Arial" w:hAnsi="Arial"/>
          <w:sz w:val="21"/>
          <w:szCs w:val="21"/>
          <w:color w:val="auto"/>
        </w:rPr>
        <w:t xml:space="preserve">project, as contemplated by </w:t>
      </w:r>
      <w:r>
        <w:rPr>
          <w:rFonts w:ascii="Arial" w:cs="Arial" w:eastAsia="Arial" w:hAnsi="Arial"/>
          <w:sz w:val="21"/>
          <w:szCs w:val="21"/>
          <w:u w:val="single" w:color="auto"/>
          <w:color w:val="auto"/>
        </w:rPr>
        <w:t>Section 29.42</w:t>
      </w:r>
      <w:r>
        <w:rPr>
          <w:rFonts w:ascii="Arial" w:cs="Arial" w:eastAsia="Arial" w:hAnsi="Arial"/>
          <w:sz w:val="21"/>
          <w:szCs w:val="21"/>
          <w:color w:val="auto"/>
        </w:rPr>
        <w:t xml:space="preserve"> of the Existing Lease and as more particularly set forth herein.</w:t>
      </w:r>
    </w:p>
    <w:p>
      <w:pPr>
        <w:spacing w:after="0" w:line="172" w:lineRule="exact"/>
        <w:rPr>
          <w:sz w:val="20"/>
          <w:szCs w:val="20"/>
          <w:color w:val="auto"/>
        </w:rPr>
      </w:pPr>
    </w:p>
    <w:p>
      <w:pPr>
        <w:jc w:val="both"/>
        <w:ind w:firstLine="629"/>
        <w:spacing w:after="0" w:line="229"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contained herein,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Landlord and Tenant agree that the Existing Lease is amended as follows:</w:t>
      </w:r>
    </w:p>
    <w:p>
      <w:pPr>
        <w:spacing w:after="0" w:line="148" w:lineRule="exact"/>
        <w:rPr>
          <w:sz w:val="20"/>
          <w:szCs w:val="20"/>
          <w:color w:val="auto"/>
        </w:rPr>
      </w:pPr>
    </w:p>
    <w:p>
      <w:pPr>
        <w:jc w:val="both"/>
        <w:ind w:firstLine="634"/>
        <w:spacing w:after="0" w:line="229" w:lineRule="auto"/>
        <w:tabs>
          <w:tab w:leader="none" w:pos="1259" w:val="left"/>
        </w:tabs>
        <w:numPr>
          <w:ilvl w:val="1"/>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Defined Terms</w:t>
      </w:r>
      <w:r>
        <w:rPr>
          <w:rFonts w:ascii="Arial" w:cs="Arial" w:eastAsia="Arial" w:hAnsi="Arial"/>
          <w:sz w:val="21"/>
          <w:szCs w:val="21"/>
          <w:color w:val="auto"/>
        </w:rPr>
        <w:t>. Capitalized terms used and not otherwise defined herein shall have the same meanings ascribed to</w:t>
      </w:r>
      <w:r>
        <w:rPr>
          <w:rFonts w:ascii="Arial" w:cs="Arial" w:eastAsia="Arial" w:hAnsi="Arial"/>
          <w:sz w:val="21"/>
          <w:szCs w:val="21"/>
          <w:b w:val="1"/>
          <w:bCs w:val="1"/>
          <w:color w:val="auto"/>
        </w:rPr>
        <w:t xml:space="preserve"> </w:t>
      </w:r>
      <w:r>
        <w:rPr>
          <w:rFonts w:ascii="Arial" w:cs="Arial" w:eastAsia="Arial" w:hAnsi="Arial"/>
          <w:sz w:val="21"/>
          <w:szCs w:val="21"/>
          <w:color w:val="auto"/>
        </w:rPr>
        <w:t>them in the Existing Lease. As used herein, the term “Lease” shall refer to the Existing Lease, as amended by this Eighth Amendment.</w:t>
      </w:r>
    </w:p>
    <w:p>
      <w:pPr>
        <w:spacing w:after="0" w:line="148" w:lineRule="exact"/>
        <w:rPr>
          <w:rFonts w:ascii="Arial" w:cs="Arial" w:eastAsia="Arial" w:hAnsi="Arial"/>
          <w:sz w:val="21"/>
          <w:szCs w:val="21"/>
          <w:b w:val="1"/>
          <w:bCs w:val="1"/>
          <w:color w:val="auto"/>
        </w:rPr>
      </w:pPr>
    </w:p>
    <w:p>
      <w:pPr>
        <w:jc w:val="both"/>
        <w:ind w:firstLine="634"/>
        <w:spacing w:after="0" w:line="232" w:lineRule="auto"/>
        <w:tabs>
          <w:tab w:leader="none" w:pos="1259" w:val="left"/>
        </w:tabs>
        <w:numPr>
          <w:ilvl w:val="1"/>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Vacation of the Give-Back Space</w:t>
      </w:r>
      <w:r>
        <w:rPr>
          <w:rFonts w:ascii="Arial" w:cs="Arial" w:eastAsia="Arial" w:hAnsi="Arial"/>
          <w:sz w:val="19"/>
          <w:szCs w:val="19"/>
          <w:color w:val="auto"/>
        </w:rPr>
        <w:t>. Landlord and Tenant acknowledge that (a) on the day prior to the Give-Back Date,</w:t>
      </w:r>
      <w:r>
        <w:rPr>
          <w:rFonts w:ascii="Arial" w:cs="Arial" w:eastAsia="Arial" w:hAnsi="Arial"/>
          <w:sz w:val="19"/>
          <w:szCs w:val="19"/>
          <w:b w:val="1"/>
          <w:bCs w:val="1"/>
          <w:color w:val="auto"/>
        </w:rPr>
        <w:t xml:space="preserve"> </w:t>
      </w:r>
      <w:r>
        <w:rPr>
          <w:rFonts w:ascii="Arial" w:cs="Arial" w:eastAsia="Arial" w:hAnsi="Arial"/>
          <w:sz w:val="19"/>
          <w:szCs w:val="19"/>
          <w:color w:val="auto"/>
        </w:rPr>
        <w:t>Subtenant shall be in possession of the Give-Back Space pursuant to the Sublease, (b) the Sublease shall terminate as of 12:01 am on the Give-Back Date, and (c) simultaneously with the termination of the Sublease, the term of the Direct Lease entered into by and between Landlord and Subtenant shall commence and Subtenant shall remain in possession of the Give-Back Space as the tenant under, and pursuant to and in accordance with the terms of, the Direct Lease. On the day prior to the Give-Back Date (and effective as of the Give-Back Date) and subject to Tenant’s payment to Landlord of the Termination Fee, Tenant shall be deemed to have surrendered to Landlord all of Tenant’s interest in and all rights to the Give-Back Space arising under the Existing Lease. Tenant’s interest in the Give-Back Space shall be surrendered to, and accepted by, Landlord in its then-current “AS IS” condition and subject to Subtenant’s continuing occupancy thereof pursuant to the Direct Lease. Through the day prior to the Give-Back Date, Tenant shall continue to pay Base Rent and Additional Rent for the entire Premises (i.e., the Give-Back Space and the Remaining Premises) pursuant to the terms of the Existing Lease. From and after the Give-Back Date, (y) Tenant shall have no further obligation for the payment of Base Rent (except to the extent otherwise provided in Section 4 below) or Additional Rent for the Give-Back Space, and</w:t>
      </w:r>
    </w:p>
    <w:p>
      <w:pPr>
        <w:spacing w:after="0" w:line="7" w:lineRule="exact"/>
        <w:rPr>
          <w:rFonts w:ascii="Arial" w:cs="Arial" w:eastAsia="Arial" w:hAnsi="Arial"/>
          <w:sz w:val="19"/>
          <w:szCs w:val="19"/>
          <w:b w:val="1"/>
          <w:bCs w:val="1"/>
          <w:color w:val="auto"/>
        </w:rPr>
      </w:pPr>
    </w:p>
    <w:p>
      <w:pPr>
        <w:jc w:val="both"/>
        <w:ind w:firstLine="5"/>
        <w:spacing w:after="0" w:line="225" w:lineRule="auto"/>
        <w:tabs>
          <w:tab w:leader="none" w:pos="295" w:val="left"/>
        </w:tabs>
        <w:numPr>
          <w:ilvl w:val="0"/>
          <w:numId w:val="52"/>
        </w:numPr>
        <w:rPr>
          <w:rFonts w:ascii="Arial" w:cs="Arial" w:eastAsia="Arial" w:hAnsi="Arial"/>
          <w:sz w:val="20"/>
          <w:szCs w:val="20"/>
          <w:color w:val="auto"/>
        </w:rPr>
      </w:pPr>
      <w:r>
        <w:rPr>
          <w:rFonts w:ascii="Arial" w:cs="Arial" w:eastAsia="Arial" w:hAnsi="Arial"/>
          <w:sz w:val="20"/>
          <w:szCs w:val="20"/>
          <w:color w:val="auto"/>
        </w:rPr>
        <w:t>to reflect the reduction in the rentable square footage of the Premises covered by the Lease as a consequence of the surrender of the Give-Back Space, the Base Rent owing under the Lease for the Remaining Premises shall be as set forth in Section 15 below, and Tenant’s Percentage Share applicable to the Remaining Premises for purposes of determining the Additional Rent owing by Tenant under the Lease shall be as set forth in Section 7 below. The parties agree that after the Give-Back Space is returned to Landlord as set forth herein, the measurement of the Premises shall be 604,185 rentable square feet, and all references to the “</w:t>
      </w:r>
      <w:r>
        <w:rPr>
          <w:rFonts w:ascii="Arial" w:cs="Arial" w:eastAsia="Arial" w:hAnsi="Arial"/>
          <w:sz w:val="20"/>
          <w:szCs w:val="20"/>
          <w:b w:val="1"/>
          <w:bCs w:val="1"/>
          <w:color w:val="auto"/>
        </w:rPr>
        <w:t>Premises</w:t>
      </w:r>
      <w:r>
        <w:rPr>
          <w:rFonts w:ascii="Arial" w:cs="Arial" w:eastAsia="Arial" w:hAnsi="Arial"/>
          <w:sz w:val="20"/>
          <w:szCs w:val="20"/>
          <w:color w:val="auto"/>
        </w:rPr>
        <w:t>” in the Lease shall thereafter be references to the Remaining Premises.</w:t>
      </w:r>
    </w:p>
    <w:p>
      <w:pPr>
        <w:spacing w:after="0" w:line="157" w:lineRule="exact"/>
        <w:rPr>
          <w:sz w:val="20"/>
          <w:szCs w:val="20"/>
          <w:color w:val="auto"/>
        </w:rPr>
      </w:pPr>
    </w:p>
    <w:p>
      <w:pPr>
        <w:ind w:firstLine="629"/>
        <w:spacing w:after="0" w:line="257" w:lineRule="auto"/>
        <w:rPr>
          <w:sz w:val="20"/>
          <w:szCs w:val="20"/>
          <w:color w:val="auto"/>
        </w:rPr>
      </w:pPr>
      <w:r>
        <w:rPr>
          <w:rFonts w:ascii="Arial" w:cs="Arial" w:eastAsia="Arial" w:hAnsi="Arial"/>
          <w:sz w:val="20"/>
          <w:szCs w:val="20"/>
          <w:color w:val="auto"/>
        </w:rPr>
        <w:t>Tenant shall remain responsible for any liabilities or obligations with respect to Give-Back Space which, in accordance with the terms of the Existing Lease, specifically survive following surrender of the Give-Back Space to Landlord.</w:t>
      </w:r>
    </w:p>
    <w:p>
      <w:pPr>
        <w:spacing w:after="0" w:line="131" w:lineRule="exact"/>
        <w:rPr>
          <w:sz w:val="20"/>
          <w:szCs w:val="20"/>
          <w:color w:val="auto"/>
        </w:rPr>
      </w:pPr>
    </w:p>
    <w:p>
      <w:pPr>
        <w:ind w:firstLine="629"/>
        <w:spacing w:after="0" w:line="239" w:lineRule="auto"/>
        <w:rPr>
          <w:sz w:val="20"/>
          <w:szCs w:val="20"/>
          <w:color w:val="auto"/>
        </w:rPr>
      </w:pPr>
      <w:r>
        <w:rPr>
          <w:rFonts w:ascii="Arial" w:cs="Arial" w:eastAsia="Arial" w:hAnsi="Arial"/>
          <w:sz w:val="21"/>
          <w:szCs w:val="21"/>
          <w:color w:val="auto"/>
        </w:rPr>
        <w:t xml:space="preserve">Effective as of the Give Back Date, </w:t>
      </w:r>
      <w:r>
        <w:rPr>
          <w:rFonts w:ascii="Arial" w:cs="Arial" w:eastAsia="Arial" w:hAnsi="Arial"/>
          <w:sz w:val="21"/>
          <w:szCs w:val="21"/>
          <w:b w:val="1"/>
          <w:bCs w:val="1"/>
          <w:u w:val="single" w:color="auto"/>
          <w:color w:val="auto"/>
        </w:rPr>
        <w:t>Exhibit A-1</w:t>
      </w:r>
      <w:r>
        <w:rPr>
          <w:rFonts w:ascii="Arial" w:cs="Arial" w:eastAsia="Arial" w:hAnsi="Arial"/>
          <w:sz w:val="21"/>
          <w:szCs w:val="21"/>
          <w:color w:val="auto"/>
        </w:rPr>
        <w:t xml:space="preserve"> to the Existing Lease is hereby amended and restated with replacement </w:t>
      </w:r>
      <w:r>
        <w:rPr>
          <w:rFonts w:ascii="Arial" w:cs="Arial" w:eastAsia="Arial" w:hAnsi="Arial"/>
          <w:sz w:val="21"/>
          <w:szCs w:val="21"/>
          <w:b w:val="1"/>
          <w:bCs w:val="1"/>
          <w:u w:val="single" w:color="auto"/>
          <w:color w:val="auto"/>
        </w:rPr>
        <w:t>Exhibit A-1</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w:t>
      </w:r>
    </w:p>
    <w:p>
      <w:pPr>
        <w:spacing w:after="0" w:line="148" w:lineRule="exact"/>
        <w:rPr>
          <w:sz w:val="20"/>
          <w:szCs w:val="20"/>
          <w:color w:val="auto"/>
        </w:rPr>
      </w:pPr>
    </w:p>
    <w:p>
      <w:pPr>
        <w:jc w:val="both"/>
        <w:ind w:firstLine="634"/>
        <w:spacing w:after="0" w:line="217" w:lineRule="auto"/>
        <w:tabs>
          <w:tab w:leader="none" w:pos="1259"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Condition of the Remaining Premises</w:t>
      </w:r>
      <w:r>
        <w:rPr>
          <w:rFonts w:ascii="Arial" w:cs="Arial" w:eastAsia="Arial" w:hAnsi="Arial"/>
          <w:sz w:val="21"/>
          <w:szCs w:val="21"/>
          <w:color w:val="auto"/>
        </w:rPr>
        <w:t>. Landlord shall have no obligation whatsoever to construct leasehold</w:t>
      </w:r>
      <w:r>
        <w:rPr>
          <w:rFonts w:ascii="Arial" w:cs="Arial" w:eastAsia="Arial" w:hAnsi="Arial"/>
          <w:sz w:val="21"/>
          <w:szCs w:val="21"/>
          <w:b w:val="1"/>
          <w:bCs w:val="1"/>
          <w:color w:val="auto"/>
        </w:rPr>
        <w:t xml:space="preserve"> </w:t>
      </w:r>
      <w:r>
        <w:rPr>
          <w:rFonts w:ascii="Arial" w:cs="Arial" w:eastAsia="Arial" w:hAnsi="Arial"/>
          <w:sz w:val="21"/>
          <w:szCs w:val="21"/>
          <w:color w:val="auto"/>
        </w:rPr>
        <w:t>improvements for Tenant or to repair or refurbish the Remaining Premises as a consequence of Tenant’s surrender of the Give-Back Space other than any maintenance and repair obligations of Landlord in the Existing Lease. The continued possession of the Remaining Premises by Tenant shall be conclusive evidence that Tenant accepts the same “</w:t>
      </w:r>
      <w:r>
        <w:rPr>
          <w:rFonts w:ascii="Arial" w:cs="Arial" w:eastAsia="Arial" w:hAnsi="Arial"/>
          <w:sz w:val="21"/>
          <w:szCs w:val="21"/>
          <w:b w:val="1"/>
          <w:bCs w:val="1"/>
          <w:color w:val="auto"/>
        </w:rPr>
        <w:t>AS IS</w:t>
      </w:r>
      <w:r>
        <w:rPr>
          <w:rFonts w:ascii="Arial" w:cs="Arial" w:eastAsia="Arial" w:hAnsi="Arial"/>
          <w:sz w:val="21"/>
          <w:szCs w:val="21"/>
          <w:color w:val="auto"/>
        </w:rPr>
        <w:t>” and that the Remaining Premises is suitable for the use intended by Tenant and is in good and satisfactory condition. Tenant acknowledges that neither Landlord nor Landlord’s agents has made any representation or warranty as to the condition of the Remaining Premises or the Building or its suitability for Tenant’s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1</w:t>
      </w:r>
    </w:p>
    <w:p>
      <w:pPr>
        <w:sectPr>
          <w:pgSz w:w="11900" w:h="16838" w:orient="portrait"/>
          <w:cols w:equalWidth="0" w:num="1">
            <w:col w:w="11240"/>
          </w:cols>
          <w:pgMar w:left="320" w:top="1364" w:right="339" w:bottom="1440" w:gutter="0" w:footer="0" w:header="0"/>
        </w:sectPr>
      </w:pPr>
    </w:p>
    <w:bookmarkStart w:id="117" w:name="page118"/>
    <w:bookmarkEnd w:id="117"/>
    <w:p>
      <w:pPr>
        <w:jc w:val="both"/>
        <w:ind w:firstLine="634"/>
        <w:spacing w:after="0" w:line="225" w:lineRule="auto"/>
        <w:tabs>
          <w:tab w:leader="none" w:pos="1259"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Fee</w:t>
      </w:r>
      <w:r>
        <w:rPr>
          <w:rFonts w:ascii="Arial" w:cs="Arial" w:eastAsia="Arial" w:hAnsi="Arial"/>
          <w:sz w:val="20"/>
          <w:szCs w:val="20"/>
          <w:color w:val="auto"/>
        </w:rPr>
        <w:t>. On or before the Give-Back Date, Tenant shall pay to Landlord the sum of Thirty-Two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Dollars ($32,000,000) (which sum represents and may be hereinafter referred to as the “</w:t>
      </w:r>
      <w:r>
        <w:rPr>
          <w:rFonts w:ascii="Arial" w:cs="Arial" w:eastAsia="Arial" w:hAnsi="Arial"/>
          <w:sz w:val="20"/>
          <w:szCs w:val="20"/>
          <w:b w:val="1"/>
          <w:bCs w:val="1"/>
          <w:color w:val="auto"/>
        </w:rPr>
        <w:t>Termination Fee</w:t>
      </w:r>
      <w:r>
        <w:rPr>
          <w:rFonts w:ascii="Arial" w:cs="Arial" w:eastAsia="Arial" w:hAnsi="Arial"/>
          <w:sz w:val="20"/>
          <w:szCs w:val="20"/>
          <w:color w:val="auto"/>
        </w:rPr>
        <w:t xml:space="preserve">”); provided, however, Tenant may deduct from such payment the sum of the monthly Base Rent applicable to the Give-Back Space for the seven (7) full calendar months following the Give-Back Date (i.e., a total of $5,269,700.23); and in the event of such deduction, Tenant shall continue to pay the monthly Base Rent otherwise applicable to the Give-Back Space for seven (7) full calendar months following the Give-Back Date in accordance with the schedule set forth on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attached hereto “as if” Tenant were still leasing the Give-Back Space (i.e., meaning hypothetically, solely for the purpose of determining the monthly payment amount). Tenant’s payment to Landlord of the sum equal to such seven (7) months of Base Rent for the Give-Back Space shall serve as a credit against the Termination Fee such that upon Tenant’s payment of all seven (7) months of Base Rent for the Give-Back Space, Tenant shall have paid to Landlord the entire Termination Fee of Thirty-Two Million Dollars ($32,000,000).</w:t>
      </w:r>
    </w:p>
    <w:p>
      <w:pPr>
        <w:spacing w:after="0" w:line="151" w:lineRule="exact"/>
        <w:rPr>
          <w:rFonts w:ascii="Arial" w:cs="Arial" w:eastAsia="Arial" w:hAnsi="Arial"/>
          <w:sz w:val="20"/>
          <w:szCs w:val="20"/>
          <w:b w:val="1"/>
          <w:bCs w:val="1"/>
          <w:color w:val="auto"/>
        </w:rPr>
      </w:pPr>
    </w:p>
    <w:p>
      <w:pPr>
        <w:jc w:val="both"/>
        <w:ind w:firstLine="634"/>
        <w:spacing w:after="0" w:line="218" w:lineRule="auto"/>
        <w:tabs>
          <w:tab w:leader="none" w:pos="1259"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w:t>
      </w:r>
      <w:r>
        <w:rPr>
          <w:rFonts w:ascii="Arial" w:cs="Arial" w:eastAsia="Arial" w:hAnsi="Arial"/>
          <w:sz w:val="17"/>
          <w:szCs w:val="17"/>
          <w:b w:val="1"/>
          <w:bCs w:val="1"/>
          <w:u w:val="single" w:color="auto"/>
          <w:color w:val="auto"/>
        </w:rPr>
        <w:t>ENANT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I</w:t>
      </w:r>
      <w:r>
        <w:rPr>
          <w:rFonts w:ascii="Arial" w:cs="Arial" w:eastAsia="Arial" w:hAnsi="Arial"/>
          <w:sz w:val="17"/>
          <w:szCs w:val="17"/>
          <w:b w:val="1"/>
          <w:bCs w:val="1"/>
          <w:u w:val="single" w:color="auto"/>
          <w:color w:val="auto"/>
        </w:rPr>
        <w:t>MPROVEMENT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A</w:t>
      </w:r>
      <w:r>
        <w:rPr>
          <w:rFonts w:ascii="Arial" w:cs="Arial" w:eastAsia="Arial" w:hAnsi="Arial"/>
          <w:sz w:val="17"/>
          <w:szCs w:val="17"/>
          <w:b w:val="1"/>
          <w:bCs w:val="1"/>
          <w:u w:val="single" w:color="auto"/>
          <w:color w:val="auto"/>
        </w:rPr>
        <w:t>LLOWANCE</w:t>
      </w:r>
      <w:r>
        <w:rPr>
          <w:rFonts w:ascii="Arial" w:cs="Arial" w:eastAsia="Arial" w:hAnsi="Arial"/>
          <w:sz w:val="21"/>
          <w:szCs w:val="21"/>
          <w:color w:val="auto"/>
        </w:rPr>
        <w:t>. Tenant shall pay to Landlord the sum of Ten Million Four Hundred Ninety-Six Thousand Four Hundred Sixty Dollars ($10,496,460) (the “TIA Contribution,” which TIA Contribution is in addition to the Termination Fee) as Tenant’s contribution towards the tenant improvement allowance which Landlord will be committing to Subtenant pursuant to the Direct Lease. Tenant shall pay to Landlord the TIA Contribution as follows: (i) fifty percent (50%) of the TIA Contribution (i.e., $5,248,230) shall be paid concurrently with Tenant’s payment of the Termination Fee, and fifty percent (50%) of the TIA Contribution shall be due and payable on or before January 7, 2022.</w:t>
      </w:r>
    </w:p>
    <w:p>
      <w:pPr>
        <w:spacing w:after="0" w:line="152" w:lineRule="exact"/>
        <w:rPr>
          <w:rFonts w:ascii="Arial" w:cs="Arial" w:eastAsia="Arial" w:hAnsi="Arial"/>
          <w:sz w:val="21"/>
          <w:szCs w:val="21"/>
          <w:b w:val="1"/>
          <w:bCs w:val="1"/>
          <w:color w:val="auto"/>
        </w:rPr>
      </w:pPr>
    </w:p>
    <w:p>
      <w:pPr>
        <w:jc w:val="both"/>
        <w:ind w:firstLine="634"/>
        <w:spacing w:after="0" w:line="229" w:lineRule="auto"/>
        <w:tabs>
          <w:tab w:leader="none" w:pos="1259"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w:t>
      </w:r>
      <w:r>
        <w:rPr>
          <w:rFonts w:ascii="Arial" w:cs="Arial" w:eastAsia="Arial" w:hAnsi="Arial"/>
          <w:sz w:val="17"/>
          <w:szCs w:val="17"/>
          <w:b w:val="1"/>
          <w:bCs w:val="1"/>
          <w:u w:val="single" w:color="auto"/>
          <w:color w:val="auto"/>
        </w:rPr>
        <w:t>ESCRIPTION OF THE</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P</w:t>
      </w:r>
      <w:r>
        <w:rPr>
          <w:rFonts w:ascii="Arial" w:cs="Arial" w:eastAsia="Arial" w:hAnsi="Arial"/>
          <w:sz w:val="17"/>
          <w:szCs w:val="17"/>
          <w:b w:val="1"/>
          <w:bCs w:val="1"/>
          <w:u w:val="single" w:color="auto"/>
          <w:color w:val="auto"/>
        </w:rPr>
        <w:t>REMISES</w:t>
      </w:r>
      <w:r>
        <w:rPr>
          <w:rFonts w:ascii="Arial" w:cs="Arial" w:eastAsia="Arial" w:hAnsi="Arial"/>
          <w:sz w:val="21"/>
          <w:szCs w:val="21"/>
          <w:color w:val="auto"/>
        </w:rPr>
        <w:t>. Effective as of the Give-Back Date, the description of the Premises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of the Summary of Basic Lease Information of the Existing Lease (the “</w:t>
      </w:r>
      <w:r>
        <w:rPr>
          <w:rFonts w:ascii="Arial" w:cs="Arial" w:eastAsia="Arial" w:hAnsi="Arial"/>
          <w:sz w:val="21"/>
          <w:szCs w:val="21"/>
          <w:b w:val="1"/>
          <w:bCs w:val="1"/>
          <w:color w:val="auto"/>
        </w:rPr>
        <w:t>Summary</w:t>
      </w:r>
      <w:r>
        <w:rPr>
          <w:rFonts w:ascii="Arial" w:cs="Arial" w:eastAsia="Arial" w:hAnsi="Arial"/>
          <w:sz w:val="21"/>
          <w:szCs w:val="21"/>
          <w:color w:val="auto"/>
        </w:rPr>
        <w:t>”) is hereby deleted in its entirety and replaced with the following</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r>
              <w:rPr>
                <w:rFonts w:ascii="Arial" w:cs="Arial" w:eastAsia="Arial" w:hAnsi="Arial"/>
                <w:sz w:val="21"/>
                <w:szCs w:val="21"/>
                <w:color w:val="auto"/>
              </w:rPr>
              <w:t>2.2.  Premises:</w:t>
            </w:r>
          </w:p>
        </w:tc>
        <w:tc>
          <w:tcPr>
            <w:tcW w:w="4780" w:type="dxa"/>
            <w:vAlign w:val="bottom"/>
            <w:gridSpan w:val="4"/>
          </w:tcPr>
          <w:p>
            <w:pPr>
              <w:spacing w:after="0"/>
              <w:rPr>
                <w:sz w:val="20"/>
                <w:szCs w:val="20"/>
                <w:color w:val="auto"/>
              </w:rPr>
            </w:pPr>
            <w:r>
              <w:rPr>
                <w:rFonts w:ascii="Arial" w:cs="Arial" w:eastAsia="Arial" w:hAnsi="Arial"/>
                <w:sz w:val="21"/>
                <w:szCs w:val="21"/>
                <w:color w:val="auto"/>
                <w:w w:val="98"/>
              </w:rPr>
              <w:t>604,185  rentable  square  feet  of  space,  including</w:t>
            </w:r>
          </w:p>
        </w:tc>
      </w:tr>
      <w:tr>
        <w:trPr>
          <w:trHeight w:val="210"/>
        </w:trPr>
        <w:tc>
          <w:tcPr>
            <w:tcW w:w="4260" w:type="dxa"/>
            <w:vAlign w:val="bottom"/>
          </w:tcPr>
          <w:p>
            <w:pPr>
              <w:spacing w:after="0"/>
              <w:rPr>
                <w:sz w:val="18"/>
                <w:szCs w:val="18"/>
                <w:color w:val="auto"/>
              </w:rPr>
            </w:pPr>
          </w:p>
        </w:tc>
        <w:tc>
          <w:tcPr>
            <w:tcW w:w="4780" w:type="dxa"/>
            <w:vAlign w:val="bottom"/>
            <w:gridSpan w:val="4"/>
          </w:tcPr>
          <w:p>
            <w:pPr>
              <w:spacing w:after="0" w:line="210" w:lineRule="exact"/>
              <w:rPr>
                <w:sz w:val="20"/>
                <w:szCs w:val="20"/>
                <w:color w:val="auto"/>
              </w:rPr>
            </w:pPr>
            <w:r>
              <w:rPr>
                <w:rFonts w:ascii="Arial" w:cs="Arial" w:eastAsia="Arial" w:hAnsi="Arial"/>
                <w:sz w:val="21"/>
                <w:szCs w:val="21"/>
                <w:color w:val="auto"/>
                <w:w w:val="89"/>
              </w:rPr>
              <w:t>approximately 2,381 rentable square feet of space on the</w:t>
            </w:r>
          </w:p>
        </w:tc>
      </w:tr>
      <w:tr>
        <w:trPr>
          <w:trHeight w:val="210"/>
        </w:trPr>
        <w:tc>
          <w:tcPr>
            <w:tcW w:w="4260" w:type="dxa"/>
            <w:vAlign w:val="bottom"/>
          </w:tcPr>
          <w:p>
            <w:pPr>
              <w:spacing w:after="0"/>
              <w:rPr>
                <w:sz w:val="18"/>
                <w:szCs w:val="18"/>
                <w:color w:val="auto"/>
              </w:rPr>
            </w:pPr>
          </w:p>
        </w:tc>
        <w:tc>
          <w:tcPr>
            <w:tcW w:w="4780" w:type="dxa"/>
            <w:vAlign w:val="bottom"/>
            <w:gridSpan w:val="4"/>
          </w:tcPr>
          <w:p>
            <w:pPr>
              <w:spacing w:after="0" w:line="210" w:lineRule="exact"/>
              <w:rPr>
                <w:sz w:val="20"/>
                <w:szCs w:val="20"/>
                <w:color w:val="auto"/>
              </w:rPr>
            </w:pPr>
            <w:r>
              <w:rPr>
                <w:rFonts w:ascii="Arial" w:cs="Arial" w:eastAsia="Arial" w:hAnsi="Arial"/>
                <w:sz w:val="21"/>
                <w:szCs w:val="21"/>
                <w:color w:val="auto"/>
                <w:w w:val="96"/>
              </w:rPr>
              <w:t>ground floor of the North Building (the “North Building</w:t>
            </w:r>
          </w:p>
        </w:tc>
      </w:tr>
      <w:tr>
        <w:trPr>
          <w:trHeight w:val="210"/>
        </w:trPr>
        <w:tc>
          <w:tcPr>
            <w:tcW w:w="4260" w:type="dxa"/>
            <w:vAlign w:val="bottom"/>
          </w:tcPr>
          <w:p>
            <w:pPr>
              <w:spacing w:after="0"/>
              <w:rPr>
                <w:sz w:val="18"/>
                <w:szCs w:val="18"/>
                <w:color w:val="auto"/>
              </w:rPr>
            </w:pPr>
          </w:p>
        </w:tc>
        <w:tc>
          <w:tcPr>
            <w:tcW w:w="4780" w:type="dxa"/>
            <w:vAlign w:val="bottom"/>
            <w:gridSpan w:val="4"/>
          </w:tcPr>
          <w:p>
            <w:pPr>
              <w:spacing w:after="0" w:line="210" w:lineRule="exact"/>
              <w:rPr>
                <w:sz w:val="20"/>
                <w:szCs w:val="20"/>
                <w:color w:val="auto"/>
              </w:rPr>
            </w:pPr>
            <w:r>
              <w:rPr>
                <w:rFonts w:ascii="Arial" w:cs="Arial" w:eastAsia="Arial" w:hAnsi="Arial"/>
                <w:sz w:val="21"/>
                <w:szCs w:val="21"/>
                <w:color w:val="auto"/>
                <w:w w:val="95"/>
              </w:rPr>
              <w:t>L1  Space”),  but  expressly  excluding  approximately</w:t>
            </w:r>
          </w:p>
        </w:tc>
      </w:tr>
      <w:tr>
        <w:trPr>
          <w:trHeight w:val="205"/>
        </w:trPr>
        <w:tc>
          <w:tcPr>
            <w:tcW w:w="4260" w:type="dxa"/>
            <w:vAlign w:val="bottom"/>
          </w:tcPr>
          <w:p>
            <w:pPr>
              <w:spacing w:after="0"/>
              <w:rPr>
                <w:sz w:val="17"/>
                <w:szCs w:val="17"/>
                <w:color w:val="auto"/>
              </w:rPr>
            </w:pPr>
          </w:p>
        </w:tc>
        <w:tc>
          <w:tcPr>
            <w:tcW w:w="4780" w:type="dxa"/>
            <w:vAlign w:val="bottom"/>
            <w:gridSpan w:val="4"/>
          </w:tcPr>
          <w:p>
            <w:pPr>
              <w:spacing w:after="0" w:line="205" w:lineRule="exact"/>
              <w:rPr>
                <w:sz w:val="20"/>
                <w:szCs w:val="20"/>
                <w:color w:val="auto"/>
              </w:rPr>
            </w:pPr>
            <w:r>
              <w:rPr>
                <w:rFonts w:ascii="Arial" w:cs="Arial" w:eastAsia="Arial" w:hAnsi="Arial"/>
                <w:sz w:val="21"/>
                <w:szCs w:val="21"/>
                <w:color w:val="auto"/>
                <w:w w:val="93"/>
              </w:rPr>
              <w:t>12,289 rentable square feet of retail space in the North</w:t>
            </w:r>
          </w:p>
        </w:tc>
      </w:tr>
      <w:tr>
        <w:trPr>
          <w:trHeight w:val="210"/>
        </w:trPr>
        <w:tc>
          <w:tcPr>
            <w:tcW w:w="4260" w:type="dxa"/>
            <w:vAlign w:val="bottom"/>
          </w:tcPr>
          <w:p>
            <w:pPr>
              <w:spacing w:after="0"/>
              <w:rPr>
                <w:sz w:val="18"/>
                <w:szCs w:val="18"/>
                <w:color w:val="auto"/>
              </w:rPr>
            </w:pPr>
          </w:p>
        </w:tc>
        <w:tc>
          <w:tcPr>
            <w:tcW w:w="4780" w:type="dxa"/>
            <w:vAlign w:val="bottom"/>
            <w:gridSpan w:val="4"/>
          </w:tcPr>
          <w:p>
            <w:pPr>
              <w:spacing w:after="0" w:line="210" w:lineRule="exact"/>
              <w:rPr>
                <w:sz w:val="20"/>
                <w:szCs w:val="20"/>
                <w:color w:val="auto"/>
              </w:rPr>
            </w:pPr>
            <w:r>
              <w:rPr>
                <w:rFonts w:ascii="Arial" w:cs="Arial" w:eastAsia="Arial" w:hAnsi="Arial"/>
                <w:sz w:val="21"/>
                <w:szCs w:val="21"/>
                <w:color w:val="auto"/>
                <w:w w:val="94"/>
              </w:rPr>
              <w:t>Tower (the “</w:t>
            </w:r>
            <w:r>
              <w:rPr>
                <w:rFonts w:ascii="Arial" w:cs="Arial" w:eastAsia="Arial" w:hAnsi="Arial"/>
                <w:sz w:val="21"/>
                <w:szCs w:val="21"/>
                <w:b w:val="1"/>
                <w:bCs w:val="1"/>
                <w:color w:val="auto"/>
                <w:w w:val="94"/>
              </w:rPr>
              <w:t>Retail Space</w:t>
            </w:r>
            <w:r>
              <w:rPr>
                <w:rFonts w:ascii="Arial" w:cs="Arial" w:eastAsia="Arial" w:hAnsi="Arial"/>
                <w:sz w:val="21"/>
                <w:szCs w:val="21"/>
                <w:color w:val="auto"/>
                <w:w w:val="94"/>
              </w:rPr>
              <w:t>”), all as is further set forth in</w:t>
            </w:r>
          </w:p>
        </w:tc>
      </w:tr>
      <w:tr>
        <w:trPr>
          <w:trHeight w:val="223"/>
        </w:trPr>
        <w:tc>
          <w:tcPr>
            <w:tcW w:w="4260" w:type="dxa"/>
            <w:vAlign w:val="bottom"/>
          </w:tcPr>
          <w:p>
            <w:pPr>
              <w:spacing w:after="0"/>
              <w:rPr>
                <w:sz w:val="19"/>
                <w:szCs w:val="19"/>
                <w:color w:val="auto"/>
              </w:rPr>
            </w:pPr>
          </w:p>
        </w:tc>
        <w:tc>
          <w:tcPr>
            <w:tcW w:w="4780" w:type="dxa"/>
            <w:vAlign w:val="bottom"/>
            <w:gridSpan w:val="4"/>
          </w:tcPr>
          <w:p>
            <w:pPr>
              <w:spacing w:after="0" w:line="223" w:lineRule="exact"/>
              <w:rPr>
                <w:sz w:val="20"/>
                <w:szCs w:val="20"/>
                <w:color w:val="auto"/>
              </w:rPr>
            </w:pPr>
            <w:r>
              <w:rPr>
                <w:rFonts w:ascii="Arial" w:cs="Arial" w:eastAsia="Arial" w:hAnsi="Arial"/>
                <w:sz w:val="21"/>
                <w:szCs w:val="21"/>
                <w:b w:val="1"/>
                <w:bCs w:val="1"/>
                <w:color w:val="auto"/>
              </w:rPr>
              <w:t xml:space="preserve">Exhibit A-1 </w:t>
            </w:r>
            <w:r>
              <w:rPr>
                <w:rFonts w:ascii="Arial" w:cs="Arial" w:eastAsia="Arial" w:hAnsi="Arial"/>
                <w:sz w:val="21"/>
                <w:szCs w:val="21"/>
                <w:color w:val="auto"/>
              </w:rPr>
              <w:t>to this Lease.</w:t>
            </w:r>
          </w:p>
        </w:tc>
      </w:tr>
      <w:tr>
        <w:trPr>
          <w:trHeight w:val="20"/>
        </w:trPr>
        <w:tc>
          <w:tcPr>
            <w:tcW w:w="4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4780" w:type="dxa"/>
            <w:vAlign w:val="bottom"/>
            <w:gridSpan w:val="4"/>
          </w:tcPr>
          <w:p>
            <w:pPr>
              <w:spacing w:after="0"/>
              <w:rPr>
                <w:sz w:val="20"/>
                <w:szCs w:val="20"/>
                <w:color w:val="auto"/>
              </w:rPr>
            </w:pPr>
            <w:r>
              <w:rPr>
                <w:rFonts w:ascii="Arial" w:cs="Arial" w:eastAsia="Arial" w:hAnsi="Arial"/>
                <w:sz w:val="21"/>
                <w:szCs w:val="21"/>
                <w:color w:val="auto"/>
                <w:w w:val="97"/>
              </w:rPr>
              <w:t>The  rentable  square  footage  of  each  floor  of  the</w:t>
            </w:r>
          </w:p>
        </w:tc>
      </w:tr>
      <w:tr>
        <w:trPr>
          <w:trHeight w:val="223"/>
        </w:trPr>
        <w:tc>
          <w:tcPr>
            <w:tcW w:w="4260" w:type="dxa"/>
            <w:vAlign w:val="bottom"/>
          </w:tcPr>
          <w:p>
            <w:pPr>
              <w:spacing w:after="0"/>
              <w:rPr>
                <w:sz w:val="19"/>
                <w:szCs w:val="19"/>
                <w:color w:val="auto"/>
              </w:rPr>
            </w:pPr>
          </w:p>
        </w:tc>
        <w:tc>
          <w:tcPr>
            <w:tcW w:w="4780" w:type="dxa"/>
            <w:vAlign w:val="bottom"/>
            <w:gridSpan w:val="4"/>
          </w:tcPr>
          <w:p>
            <w:pPr>
              <w:spacing w:after="0" w:line="223" w:lineRule="exact"/>
              <w:rPr>
                <w:sz w:val="20"/>
                <w:szCs w:val="20"/>
                <w:color w:val="auto"/>
              </w:rPr>
            </w:pPr>
            <w:r>
              <w:rPr>
                <w:rFonts w:ascii="Arial" w:cs="Arial" w:eastAsia="Arial" w:hAnsi="Arial"/>
                <w:sz w:val="21"/>
                <w:szCs w:val="21"/>
                <w:color w:val="auto"/>
                <w:w w:val="96"/>
              </w:rPr>
              <w:t xml:space="preserve">Premises is set forth on </w:t>
            </w:r>
            <w:r>
              <w:rPr>
                <w:rFonts w:ascii="Arial" w:cs="Arial" w:eastAsia="Arial" w:hAnsi="Arial"/>
                <w:sz w:val="21"/>
                <w:szCs w:val="21"/>
                <w:b w:val="1"/>
                <w:bCs w:val="1"/>
                <w:color w:val="auto"/>
                <w:w w:val="96"/>
              </w:rPr>
              <w:t>Exhibit A-1</w:t>
            </w:r>
            <w:r>
              <w:rPr>
                <w:rFonts w:ascii="Arial" w:cs="Arial" w:eastAsia="Arial" w:hAnsi="Arial"/>
                <w:sz w:val="21"/>
                <w:szCs w:val="21"/>
                <w:color w:val="auto"/>
                <w:w w:val="96"/>
              </w:rPr>
              <w:t xml:space="preserve"> attached hereto.</w:t>
            </w:r>
          </w:p>
        </w:tc>
      </w:tr>
      <w:tr>
        <w:trPr>
          <w:trHeight w:val="20"/>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2</w:t>
      </w:r>
    </w:p>
    <w:p>
      <w:pPr>
        <w:sectPr>
          <w:pgSz w:w="11900" w:h="16838" w:orient="portrait"/>
          <w:cols w:equalWidth="0" w:num="1">
            <w:col w:w="11240"/>
          </w:cols>
          <w:pgMar w:left="320" w:top="1358" w:right="339" w:bottom="1440" w:gutter="0" w:footer="0" w:header="0"/>
        </w:sectPr>
      </w:pPr>
    </w:p>
    <w:bookmarkStart w:id="118" w:name="page119"/>
    <w:bookmarkEnd w:id="118"/>
    <w:p>
      <w:pPr>
        <w:ind w:firstLine="634"/>
        <w:spacing w:after="0" w:line="239" w:lineRule="auto"/>
        <w:tabs>
          <w:tab w:leader="none" w:pos="1259"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w:t>
      </w:r>
      <w:r>
        <w:rPr>
          <w:rFonts w:ascii="Arial" w:cs="Arial" w:eastAsia="Arial" w:hAnsi="Arial"/>
          <w:sz w:val="17"/>
          <w:szCs w:val="17"/>
          <w:b w:val="1"/>
          <w:bCs w:val="1"/>
          <w:u w:val="single" w:color="auto"/>
          <w:color w:val="auto"/>
        </w:rPr>
        <w:t>ENANT’S</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w:t>
      </w:r>
      <w:r>
        <w:rPr>
          <w:rFonts w:ascii="Arial" w:cs="Arial" w:eastAsia="Arial" w:hAnsi="Arial"/>
          <w:sz w:val="17"/>
          <w:szCs w:val="17"/>
          <w:b w:val="1"/>
          <w:bCs w:val="1"/>
          <w:u w:val="single" w:color="auto"/>
          <w:color w:val="auto"/>
        </w:rPr>
        <w:t>HARE OF</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D</w:t>
      </w:r>
      <w:r>
        <w:rPr>
          <w:rFonts w:ascii="Arial" w:cs="Arial" w:eastAsia="Arial" w:hAnsi="Arial"/>
          <w:sz w:val="17"/>
          <w:szCs w:val="17"/>
          <w:b w:val="1"/>
          <w:bCs w:val="1"/>
          <w:u w:val="single" w:color="auto"/>
          <w:color w:val="auto"/>
        </w:rPr>
        <w:t>IRECT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w:t>
      </w:r>
      <w:r>
        <w:rPr>
          <w:rFonts w:ascii="Arial" w:cs="Arial" w:eastAsia="Arial" w:hAnsi="Arial"/>
          <w:sz w:val="17"/>
          <w:szCs w:val="17"/>
          <w:b w:val="1"/>
          <w:bCs w:val="1"/>
          <w:u w:val="single" w:color="auto"/>
          <w:color w:val="auto"/>
        </w:rPr>
        <w:t>XPENSES</w:t>
      </w:r>
      <w:r>
        <w:rPr>
          <w:rFonts w:ascii="Arial" w:cs="Arial" w:eastAsia="Arial" w:hAnsi="Arial"/>
          <w:sz w:val="17"/>
          <w:szCs w:val="17"/>
          <w:color w:val="auto"/>
        </w:rPr>
        <w:t>. Effective as of the Give-Back Date, t</w:t>
      </w:r>
      <w:r>
        <w:rPr>
          <w:rFonts w:ascii="Arial" w:cs="Arial" w:eastAsia="Arial" w:hAnsi="Arial"/>
          <w:sz w:val="21"/>
          <w:szCs w:val="21"/>
          <w:color w:val="auto"/>
        </w:rPr>
        <w:t>he description of Tenant’s Share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of the Summary is hereby deleted in its entirety and replaced with the following:</w:t>
      </w:r>
    </w:p>
    <w:p>
      <w:pPr>
        <w:spacing w:after="0" w:line="207" w:lineRule="exact"/>
        <w:rPr>
          <w:sz w:val="20"/>
          <w:szCs w:val="20"/>
          <w:color w:val="auto"/>
        </w:rPr>
      </w:pPr>
    </w:p>
    <w:p>
      <w:pPr>
        <w:ind w:left="620"/>
        <w:spacing w:after="0"/>
        <w:tabs>
          <w:tab w:leader="none" w:pos="960" w:val="left"/>
          <w:tab w:leader="none" w:pos="4820" w:val="left"/>
        </w:tabs>
        <w:rPr>
          <w:sz w:val="20"/>
          <w:szCs w:val="20"/>
          <w:color w:val="auto"/>
        </w:rPr>
      </w:pPr>
      <w:r>
        <w:rPr>
          <w:rFonts w:ascii="Arial" w:cs="Arial" w:eastAsia="Arial" w:hAnsi="Arial"/>
          <w:sz w:val="21"/>
          <w:szCs w:val="21"/>
          <w:color w:val="auto"/>
        </w:rPr>
        <w:t>6.</w:t>
        <w:tab/>
        <w:t>Tenant’s Share (</w:t>
      </w:r>
      <w:r>
        <w:rPr>
          <w:rFonts w:ascii="Arial" w:cs="Arial" w:eastAsia="Arial" w:hAnsi="Arial"/>
          <w:sz w:val="21"/>
          <w:szCs w:val="21"/>
          <w:u w:val="single" w:color="auto"/>
          <w:color w:val="auto"/>
        </w:rPr>
        <w:t>Article 4</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100% of the North Building</w:t>
      </w:r>
    </w:p>
    <w:p>
      <w:pPr>
        <w:spacing w:after="0" w:line="204"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51.15% of the North Tower</w:t>
      </w:r>
    </w:p>
    <w:p>
      <w:pPr>
        <w:spacing w:after="0" w:line="204"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100% of the South Building</w:t>
      </w:r>
    </w:p>
    <w:p>
      <w:pPr>
        <w:spacing w:after="0" w:line="204"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100% of the South Tower</w:t>
      </w:r>
    </w:p>
    <w:p>
      <w:pPr>
        <w:spacing w:after="0" w:line="191"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*Tenant’s Share shall be determined separately for each</w:t>
      </w:r>
    </w:p>
    <w:p>
      <w:pPr>
        <w:ind w:left="4840"/>
        <w:spacing w:after="0" w:line="208" w:lineRule="auto"/>
        <w:rPr>
          <w:sz w:val="20"/>
          <w:szCs w:val="20"/>
          <w:color w:val="auto"/>
        </w:rPr>
      </w:pPr>
      <w:r>
        <w:rPr>
          <w:rFonts w:ascii="Arial" w:cs="Arial" w:eastAsia="Arial" w:hAnsi="Arial"/>
          <w:sz w:val="21"/>
          <w:szCs w:val="21"/>
          <w:color w:val="auto"/>
        </w:rPr>
        <w:t>Building and shall be equal to 100% for each of the</w:t>
      </w:r>
    </w:p>
    <w:p>
      <w:pPr>
        <w:ind w:left="4840"/>
        <w:spacing w:after="0" w:line="209" w:lineRule="auto"/>
        <w:rPr>
          <w:sz w:val="20"/>
          <w:szCs w:val="20"/>
          <w:color w:val="auto"/>
        </w:rPr>
      </w:pPr>
      <w:r>
        <w:rPr>
          <w:rFonts w:ascii="Arial" w:cs="Arial" w:eastAsia="Arial" w:hAnsi="Arial"/>
          <w:sz w:val="21"/>
          <w:szCs w:val="21"/>
          <w:color w:val="auto"/>
        </w:rPr>
        <w:t>South  Building  and  South  Tower  regardless  of  the</w:t>
      </w:r>
    </w:p>
    <w:p>
      <w:pPr>
        <w:ind w:left="4840"/>
        <w:spacing w:after="0"/>
        <w:tabs>
          <w:tab w:leader="none" w:pos="5640" w:val="left"/>
          <w:tab w:leader="none" w:pos="6360" w:val="left"/>
          <w:tab w:leader="none" w:pos="7160" w:val="left"/>
          <w:tab w:leader="none" w:pos="7480" w:val="left"/>
          <w:tab w:leader="none" w:pos="7900" w:val="left"/>
          <w:tab w:leader="none" w:pos="8580" w:val="left"/>
          <w:tab w:leader="none" w:pos="9300" w:val="left"/>
        </w:tabs>
        <w:rPr>
          <w:sz w:val="20"/>
          <w:szCs w:val="20"/>
          <w:color w:val="auto"/>
        </w:rPr>
      </w:pPr>
      <w:r>
        <w:rPr>
          <w:rFonts w:ascii="Arial" w:cs="Arial" w:eastAsia="Arial" w:hAnsi="Arial"/>
          <w:sz w:val="21"/>
          <w:szCs w:val="21"/>
          <w:color w:val="auto"/>
        </w:rPr>
        <w:t>rentable</w:t>
        <w:tab/>
        <w:t>square</w:t>
        <w:tab/>
        <w:t>footage</w:t>
        <w:tab/>
        <w:t>of</w:t>
        <w:tab/>
        <w:t>the</w:t>
        <w:tab/>
        <w:t>Retail</w:t>
        <w:tab/>
        <w:t>Space;</w:t>
      </w:r>
      <w:r>
        <w:rPr>
          <w:sz w:val="20"/>
          <w:szCs w:val="20"/>
          <w:color w:val="auto"/>
        </w:rPr>
        <w:tab/>
      </w:r>
      <w:r>
        <w:rPr>
          <w:rFonts w:ascii="Arial" w:cs="Arial" w:eastAsia="Arial" w:hAnsi="Arial"/>
          <w:sz w:val="17"/>
          <w:szCs w:val="17"/>
          <w:color w:val="auto"/>
        </w:rPr>
        <w:t>and</w:t>
      </w:r>
    </w:p>
    <w:p>
      <w:pPr>
        <w:ind w:left="4840"/>
        <w:spacing w:after="0"/>
        <w:tabs>
          <w:tab w:leader="none" w:pos="5940" w:val="left"/>
          <w:tab w:leader="none" w:pos="6480" w:val="left"/>
          <w:tab w:leader="none" w:pos="7240" w:val="left"/>
          <w:tab w:leader="none" w:pos="7580" w:val="left"/>
          <w:tab w:leader="none" w:pos="8000" w:val="left"/>
          <w:tab w:leader="none" w:pos="8660" w:val="left"/>
          <w:tab w:leader="none" w:pos="9360" w:val="left"/>
        </w:tabs>
        <w:rPr>
          <w:sz w:val="20"/>
          <w:szCs w:val="20"/>
          <w:color w:val="auto"/>
        </w:rPr>
      </w:pPr>
      <w:r>
        <w:rPr>
          <w:rFonts w:ascii="Arial" w:cs="Arial" w:eastAsia="Arial" w:hAnsi="Arial"/>
          <w:sz w:val="21"/>
          <w:szCs w:val="21"/>
          <w:color w:val="auto"/>
        </w:rPr>
        <w:t>specifically</w:t>
        <w:tab/>
        <w:t>with</w:t>
        <w:tab/>
        <w:t>respect</w:t>
        <w:tab/>
        <w:t>to</w:t>
        <w:tab/>
        <w:t>the</w:t>
        <w:tab/>
        <w:t>North</w:t>
        <w:tab/>
        <w:t>Tower</w:t>
      </w:r>
      <w:r>
        <w:rPr>
          <w:sz w:val="20"/>
          <w:szCs w:val="20"/>
          <w:color w:val="auto"/>
        </w:rPr>
        <w:tab/>
      </w:r>
      <w:r>
        <w:rPr>
          <w:rFonts w:ascii="Arial" w:cs="Arial" w:eastAsia="Arial" w:hAnsi="Arial"/>
          <w:sz w:val="18"/>
          <w:szCs w:val="18"/>
          <w:color w:val="auto"/>
        </w:rPr>
        <w:t>the</w:t>
      </w:r>
    </w:p>
    <w:p>
      <w:pPr>
        <w:ind w:left="4840"/>
        <w:spacing w:after="0" w:line="208" w:lineRule="auto"/>
        <w:rPr>
          <w:sz w:val="20"/>
          <w:szCs w:val="20"/>
          <w:color w:val="auto"/>
        </w:rPr>
      </w:pPr>
      <w:r>
        <w:rPr>
          <w:rFonts w:ascii="Arial" w:cs="Arial" w:eastAsia="Arial" w:hAnsi="Arial"/>
          <w:sz w:val="21"/>
          <w:szCs w:val="21"/>
          <w:color w:val="auto"/>
        </w:rPr>
        <w:t>allocation of Direct Expenses shall be subject to the</w:t>
      </w:r>
    </w:p>
    <w:p>
      <w:pPr>
        <w:ind w:left="4840"/>
        <w:spacing w:after="0" w:line="209" w:lineRule="auto"/>
        <w:rPr>
          <w:sz w:val="20"/>
          <w:szCs w:val="20"/>
          <w:color w:val="auto"/>
        </w:rPr>
      </w:pPr>
      <w:r>
        <w:rPr>
          <w:rFonts w:ascii="Arial" w:cs="Arial" w:eastAsia="Arial" w:hAnsi="Arial"/>
          <w:sz w:val="21"/>
          <w:szCs w:val="21"/>
          <w:color w:val="auto"/>
        </w:rPr>
        <w:t>Retail Space “Cost Pool” (as that term is defined in</w:t>
      </w:r>
    </w:p>
    <w:p>
      <w:pPr>
        <w:ind w:left="4840"/>
        <w:spacing w:after="0"/>
        <w:rPr>
          <w:sz w:val="20"/>
          <w:szCs w:val="20"/>
          <w:color w:val="auto"/>
        </w:rPr>
      </w:pPr>
      <w:r>
        <w:rPr>
          <w:rFonts w:ascii="Arial" w:cs="Arial" w:eastAsia="Arial" w:hAnsi="Arial"/>
          <w:sz w:val="21"/>
          <w:szCs w:val="21"/>
          <w:u w:val="single" w:color="auto"/>
          <w:color w:val="auto"/>
        </w:rPr>
        <w:t>Section 4.3.2</w:t>
      </w:r>
      <w:r>
        <w:rPr>
          <w:rFonts w:ascii="Arial" w:cs="Arial" w:eastAsia="Arial" w:hAnsi="Arial"/>
          <w:sz w:val="21"/>
          <w:szCs w:val="21"/>
          <w:color w:val="auto"/>
        </w:rPr>
        <w:t xml:space="preserve"> below).</w:t>
      </w:r>
    </w:p>
    <w:p>
      <w:pPr>
        <w:spacing w:after="0" w:line="173"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The  rentable  square  footage  of  each  floor  of  the</w:t>
      </w:r>
    </w:p>
    <w:p>
      <w:pPr>
        <w:ind w:left="4840"/>
        <w:spacing w:after="0"/>
        <w:rPr>
          <w:sz w:val="20"/>
          <w:szCs w:val="20"/>
          <w:color w:val="auto"/>
        </w:rPr>
      </w:pPr>
      <w:r>
        <w:rPr>
          <w:rFonts w:ascii="Arial" w:cs="Arial" w:eastAsia="Arial" w:hAnsi="Arial"/>
          <w:sz w:val="21"/>
          <w:szCs w:val="21"/>
          <w:color w:val="auto"/>
        </w:rPr>
        <w:t xml:space="preserve">Premises is as set forth on </w:t>
      </w:r>
      <w:r>
        <w:rPr>
          <w:rFonts w:ascii="Arial" w:cs="Arial" w:eastAsia="Arial" w:hAnsi="Arial"/>
          <w:sz w:val="21"/>
          <w:szCs w:val="21"/>
          <w:b w:val="1"/>
          <w:bCs w:val="1"/>
          <w:u w:val="single" w:color="auto"/>
          <w:color w:val="auto"/>
        </w:rPr>
        <w:t>Exhibit A-1</w:t>
      </w:r>
      <w:r>
        <w:rPr>
          <w:rFonts w:ascii="Arial" w:cs="Arial" w:eastAsia="Arial" w:hAnsi="Arial"/>
          <w:sz w:val="21"/>
          <w:szCs w:val="21"/>
          <w:color w:val="auto"/>
        </w:rPr>
        <w:t xml:space="preserve"> attached hereto.</w:t>
      </w:r>
    </w:p>
    <w:p>
      <w:pPr>
        <w:spacing w:after="0" w:line="62" w:lineRule="exact"/>
        <w:rPr>
          <w:sz w:val="20"/>
          <w:szCs w:val="20"/>
          <w:color w:val="auto"/>
        </w:rPr>
      </w:pPr>
    </w:p>
    <w:p>
      <w:pPr>
        <w:ind w:left="1260" w:hanging="626"/>
        <w:spacing w:after="0"/>
        <w:tabs>
          <w:tab w:leader="none" w:pos="126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Permitted Use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Summary of the Original Lease is hereby deleted and replaced in its entirety with the</w:t>
      </w:r>
    </w:p>
    <w:p>
      <w:pPr>
        <w:spacing w:after="0" w:line="1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following:</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3380" w:type="dxa"/>
            <w:vAlign w:val="bottom"/>
            <w:gridSpan w:val="3"/>
          </w:tcPr>
          <w:p>
            <w:pPr>
              <w:spacing w:after="0"/>
              <w:rPr>
                <w:sz w:val="20"/>
                <w:szCs w:val="20"/>
                <w:color w:val="auto"/>
              </w:rPr>
            </w:pPr>
            <w:r>
              <w:rPr>
                <w:rFonts w:ascii="Arial" w:cs="Arial" w:eastAsia="Arial" w:hAnsi="Arial"/>
                <w:sz w:val="21"/>
                <w:szCs w:val="21"/>
                <w:color w:val="auto"/>
              </w:rPr>
              <w:t>7.  Permitted Use (Article 5):</w:t>
            </w:r>
          </w:p>
        </w:tc>
        <w:tc>
          <w:tcPr>
            <w:tcW w:w="5640" w:type="dxa"/>
            <w:vAlign w:val="bottom"/>
            <w:gridSpan w:val="3"/>
          </w:tcPr>
          <w:p>
            <w:pPr>
              <w:ind w:left="840"/>
              <w:spacing w:after="0"/>
              <w:rPr>
                <w:sz w:val="20"/>
                <w:szCs w:val="20"/>
                <w:color w:val="auto"/>
              </w:rPr>
            </w:pPr>
            <w:r>
              <w:rPr>
                <w:rFonts w:ascii="Arial" w:cs="Arial" w:eastAsia="Arial" w:hAnsi="Arial"/>
                <w:sz w:val="21"/>
                <w:szCs w:val="21"/>
                <w:color w:val="auto"/>
                <w:w w:val="90"/>
              </w:rPr>
              <w:t>General office use together with ancillary uses consistent</w:t>
            </w:r>
          </w:p>
        </w:tc>
      </w:tr>
      <w:tr>
        <w:trPr>
          <w:trHeight w:val="182"/>
        </w:trPr>
        <w:tc>
          <w:tcPr>
            <w:tcW w:w="16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5640" w:type="dxa"/>
            <w:vAlign w:val="bottom"/>
            <w:gridSpan w:val="3"/>
          </w:tcPr>
          <w:p>
            <w:pPr>
              <w:ind w:left="840"/>
              <w:spacing w:after="0" w:line="182" w:lineRule="exact"/>
              <w:rPr>
                <w:sz w:val="20"/>
                <w:szCs w:val="20"/>
                <w:color w:val="auto"/>
              </w:rPr>
            </w:pPr>
            <w:r>
              <w:rPr>
                <w:rFonts w:ascii="Arial" w:cs="Arial" w:eastAsia="Arial" w:hAnsi="Arial"/>
                <w:sz w:val="21"/>
                <w:szCs w:val="21"/>
                <w:color w:val="auto"/>
                <w:w w:val="99"/>
              </w:rPr>
              <w:t>with high-tech, multi-tenant first-class office and life-</w:t>
            </w:r>
          </w:p>
        </w:tc>
      </w:tr>
      <w:tr>
        <w:trPr>
          <w:trHeight w:val="210"/>
        </w:trPr>
        <w:tc>
          <w:tcPr>
            <w:tcW w:w="1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40" w:type="dxa"/>
            <w:vAlign w:val="bottom"/>
            <w:gridSpan w:val="3"/>
          </w:tcPr>
          <w:p>
            <w:pPr>
              <w:ind w:left="840"/>
              <w:spacing w:after="0" w:line="210" w:lineRule="exact"/>
              <w:rPr>
                <w:sz w:val="20"/>
                <w:szCs w:val="20"/>
                <w:color w:val="auto"/>
              </w:rPr>
            </w:pPr>
            <w:r>
              <w:rPr>
                <w:rFonts w:ascii="Arial" w:cs="Arial" w:eastAsia="Arial" w:hAnsi="Arial"/>
                <w:sz w:val="21"/>
                <w:szCs w:val="21"/>
                <w:color w:val="auto"/>
                <w:w w:val="90"/>
              </w:rPr>
              <w:t>science buildings, subject to the terms and conditions set</w:t>
            </w:r>
          </w:p>
        </w:tc>
      </w:tr>
      <w:tr>
        <w:trPr>
          <w:trHeight w:val="218"/>
        </w:trPr>
        <w:tc>
          <w:tcPr>
            <w:tcW w:w="1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40" w:type="dxa"/>
            <w:vAlign w:val="bottom"/>
            <w:gridSpan w:val="3"/>
          </w:tcPr>
          <w:p>
            <w:pPr>
              <w:ind w:left="840"/>
              <w:spacing w:after="0" w:line="218" w:lineRule="exact"/>
              <w:rPr>
                <w:sz w:val="20"/>
                <w:szCs w:val="20"/>
                <w:color w:val="auto"/>
              </w:rPr>
            </w:pPr>
            <w:r>
              <w:rPr>
                <w:rFonts w:ascii="Arial" w:cs="Arial" w:eastAsia="Arial" w:hAnsi="Arial"/>
                <w:sz w:val="21"/>
                <w:szCs w:val="21"/>
                <w:color w:val="auto"/>
              </w:rPr>
              <w:t>forth in Section 5.1 of this Lease.</w:t>
            </w:r>
          </w:p>
        </w:tc>
      </w:tr>
      <w:tr>
        <w:trPr>
          <w:trHeight w:val="20"/>
        </w:trPr>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1260" w:hanging="626"/>
        <w:spacing w:after="0"/>
        <w:tabs>
          <w:tab w:leader="none" w:pos="1260"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Expenses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4.2.5.1</w:t>
      </w:r>
      <w:r>
        <w:rPr>
          <w:rFonts w:ascii="Arial" w:cs="Arial" w:eastAsia="Arial" w:hAnsi="Arial"/>
          <w:sz w:val="21"/>
          <w:szCs w:val="21"/>
          <w:b w:val="1"/>
          <w:bCs w:val="1"/>
          <w:color w:val="auto"/>
        </w:rPr>
        <w:t xml:space="preserve"> </w:t>
      </w:r>
      <w:r>
        <w:rPr>
          <w:rFonts w:ascii="Arial" w:cs="Arial" w:eastAsia="Arial" w:hAnsi="Arial"/>
          <w:sz w:val="21"/>
          <w:szCs w:val="21"/>
          <w:color w:val="auto"/>
        </w:rPr>
        <w:t>of the Original Lease is hereby amended and restated as follows:</w:t>
      </w:r>
    </w:p>
    <w:p>
      <w:pPr>
        <w:spacing w:after="0" w:line="178" w:lineRule="exact"/>
        <w:rPr>
          <w:sz w:val="20"/>
          <w:szCs w:val="20"/>
          <w:color w:val="auto"/>
        </w:rPr>
      </w:pPr>
    </w:p>
    <w:p>
      <w:pPr>
        <w:jc w:val="both"/>
        <w:ind w:left="640" w:right="620" w:firstLine="516"/>
        <w:spacing w:after="0" w:line="234" w:lineRule="auto"/>
        <w:rPr>
          <w:sz w:val="20"/>
          <w:szCs w:val="20"/>
          <w:color w:val="auto"/>
        </w:rPr>
      </w:pPr>
      <w:r>
        <w:rPr>
          <w:rFonts w:ascii="Arial" w:cs="Arial" w:eastAsia="Arial" w:hAnsi="Arial"/>
          <w:sz w:val="19"/>
          <w:szCs w:val="19"/>
          <w:color w:val="auto"/>
        </w:rPr>
        <w:t>4.2.5.1 “</w:t>
      </w:r>
      <w:r>
        <w:rPr>
          <w:rFonts w:ascii="Arial" w:cs="Arial" w:eastAsia="Arial" w:hAnsi="Arial"/>
          <w:sz w:val="19"/>
          <w:szCs w:val="19"/>
          <w:b w:val="1"/>
          <w:bCs w:val="1"/>
          <w:color w:val="auto"/>
        </w:rPr>
        <w:t>Tax Expenses</w:t>
      </w:r>
      <w:r>
        <w:rPr>
          <w:rFonts w:ascii="Arial" w:cs="Arial" w:eastAsia="Arial" w:hAnsi="Arial"/>
          <w:sz w:val="19"/>
          <w:szCs w:val="19"/>
          <w:color w:val="auto"/>
        </w:rPr>
        <w:t xml:space="preserve"> ”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the Rent payable hereunder or by other tenants of the Project, including gross receipts or sales taxes applicable to the receipt of such Rent, unless required to be paid by Tenant or other tenants of the Project,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(including, without limitation, the land upon which the Buildings, including the Parking Facilities, are located). Notwithstanding anything set forth above to the contrary, (i) any gross receipts or sales taxes payable by Landlord and applicable to Landlord’s receipt of Rent (or any other consideration) payable by Tenant or any other tenant of the Project shall not be included as a Tax Expense hereunder, but shall be passed through to Tenant or any such other tenant of the Project as a tax for which Tenant or any such other tenant is directly responsible in accordance with the terms of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of this Lease and shall be determined on the basis of the Rent payable by Tenant or any such other tenant, as the case may be; and (ii) Tax Expenses shall not include taxes levied against or determined on the basis of the equipment, furniture, fixtures, or personal property of Tenant or other tenants of the Project, but any such taxes shall be payable by Tenant in accordance with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of the Lease and by such other tenants in accordance with similar provisions of their respective leases. For the sake of</w:t>
      </w:r>
    </w:p>
    <w:p>
      <w:pPr>
        <w:sectPr>
          <w:pgSz w:w="11900" w:h="16838" w:orient="portrait"/>
          <w:cols w:equalWidth="0" w:num="1">
            <w:col w:w="11240"/>
          </w:cols>
          <w:pgMar w:left="320" w:top="1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color w:val="auto"/>
        </w:rPr>
        <w:t>DREL00096.9</w:t>
      </w:r>
      <w:r>
        <w:rPr>
          <w:sz w:val="20"/>
          <w:szCs w:val="20"/>
          <w:color w:val="auto"/>
        </w:rPr>
        <w:tab/>
      </w:r>
      <w:r>
        <w:rPr>
          <w:rFonts w:ascii="Arial" w:cs="Arial" w:eastAsia="Arial" w:hAnsi="Arial"/>
          <w:sz w:val="17"/>
          <w:szCs w:val="17"/>
          <w:color w:val="auto"/>
        </w:rPr>
        <w:t>3</w:t>
      </w:r>
    </w:p>
    <w:p>
      <w:pPr>
        <w:sectPr>
          <w:pgSz w:w="11900" w:h="16838" w:orient="portrait"/>
          <w:cols w:equalWidth="0" w:num="1">
            <w:col w:w="11240"/>
          </w:cols>
          <w:pgMar w:left="320" w:top="1358" w:right="339" w:bottom="1440" w:gutter="0" w:footer="0" w:header="0"/>
          <w:type w:val="continuous"/>
        </w:sectPr>
      </w:pPr>
    </w:p>
    <w:bookmarkStart w:id="119" w:name="page120"/>
    <w:bookmarkEnd w:id="119"/>
    <w:p>
      <w:pPr>
        <w:jc w:val="both"/>
        <w:ind w:left="640" w:right="620"/>
        <w:spacing w:after="0" w:line="227" w:lineRule="auto"/>
        <w:rPr>
          <w:sz w:val="20"/>
          <w:szCs w:val="20"/>
          <w:color w:val="auto"/>
        </w:rPr>
      </w:pPr>
      <w:r>
        <w:rPr>
          <w:rFonts w:ascii="Arial" w:cs="Arial" w:eastAsia="Arial" w:hAnsi="Arial"/>
          <w:sz w:val="21"/>
          <w:szCs w:val="21"/>
          <w:color w:val="auto"/>
        </w:rPr>
        <w:t>clarity, any gross receipts or sales taxes applicable to the receipt of Rent or any other consideration (inclusive of any so-called “Proposition C”) levied, assessed or imposed because of this Eighth Amendment (e.g., as to Landlord’s receipt of the Termination Fee and TIA Contribution) shall be paid by Tenant.</w:t>
      </w:r>
    </w:p>
    <w:p>
      <w:pPr>
        <w:spacing w:after="0" w:line="148" w:lineRule="exact"/>
        <w:rPr>
          <w:sz w:val="20"/>
          <w:szCs w:val="20"/>
          <w:color w:val="auto"/>
        </w:rPr>
      </w:pPr>
    </w:p>
    <w:p>
      <w:pPr>
        <w:ind w:left="1260" w:hanging="626"/>
        <w:spacing w:after="0"/>
        <w:tabs>
          <w:tab w:leader="none" w:pos="1260"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Cost Pools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4.3.2</w:t>
      </w:r>
      <w:r>
        <w:rPr>
          <w:rFonts w:ascii="Arial" w:cs="Arial" w:eastAsia="Arial" w:hAnsi="Arial"/>
          <w:sz w:val="21"/>
          <w:szCs w:val="21"/>
          <w:b w:val="1"/>
          <w:bCs w:val="1"/>
          <w:color w:val="auto"/>
        </w:rPr>
        <w:t xml:space="preserve"> </w:t>
      </w:r>
      <w:r>
        <w:rPr>
          <w:rFonts w:ascii="Arial" w:cs="Arial" w:eastAsia="Arial" w:hAnsi="Arial"/>
          <w:sz w:val="21"/>
          <w:szCs w:val="21"/>
          <w:color w:val="auto"/>
        </w:rPr>
        <w:t>of the Original Lease is hereby amended and restated as follows:</w:t>
      </w:r>
    </w:p>
    <w:p>
      <w:pPr>
        <w:spacing w:after="0" w:line="178" w:lineRule="exact"/>
        <w:rPr>
          <w:sz w:val="20"/>
          <w:szCs w:val="20"/>
          <w:color w:val="auto"/>
        </w:rPr>
      </w:pPr>
    </w:p>
    <w:p>
      <w:pPr>
        <w:jc w:val="both"/>
        <w:ind w:left="640" w:right="620" w:firstLine="490"/>
        <w:spacing w:after="0" w:line="234" w:lineRule="auto"/>
        <w:rPr>
          <w:sz w:val="20"/>
          <w:szCs w:val="20"/>
          <w:color w:val="auto"/>
        </w:rPr>
      </w:pPr>
      <w:r>
        <w:rPr>
          <w:rFonts w:ascii="Arial" w:cs="Arial" w:eastAsia="Arial" w:hAnsi="Arial"/>
          <w:sz w:val="19"/>
          <w:szCs w:val="19"/>
          <w:color w:val="auto"/>
        </w:rPr>
        <w:t xml:space="preserve">4.3.2 </w:t>
      </w:r>
      <w:r>
        <w:rPr>
          <w:rFonts w:ascii="Arial" w:cs="Arial" w:eastAsia="Arial" w:hAnsi="Arial"/>
          <w:sz w:val="19"/>
          <w:szCs w:val="19"/>
          <w:b w:val="1"/>
          <w:bCs w:val="1"/>
          <w:u w:val="single" w:color="auto"/>
          <w:color w:val="auto"/>
        </w:rPr>
        <w:t>Cost Pools</w:t>
      </w:r>
      <w:r>
        <w:rPr>
          <w:rFonts w:ascii="Arial" w:cs="Arial" w:eastAsia="Arial" w:hAnsi="Arial"/>
          <w:sz w:val="19"/>
          <w:szCs w:val="19"/>
          <w:color w:val="auto"/>
        </w:rPr>
        <w:t>. The parties acknowledge that certain of the costs and expenses incurred in connection with the Project (i.e., the Direct Expenses) should be separately allocated to the office space, the Retail Space and Lab Space. As used herein, Lab Space shall mean and refer to any portion of the Project leased directly by Landlord that is improved for use as laboratory space. Direct Expenses shall be allocated between the office space, Retail Space and Lab Space (each, a “</w:t>
      </w:r>
      <w:r>
        <w:rPr>
          <w:rFonts w:ascii="Arial" w:cs="Arial" w:eastAsia="Arial" w:hAnsi="Arial"/>
          <w:sz w:val="19"/>
          <w:szCs w:val="19"/>
          <w:b w:val="1"/>
          <w:bCs w:val="1"/>
          <w:color w:val="auto"/>
        </w:rPr>
        <w:t>Cost Pool</w:t>
      </w:r>
      <w:r>
        <w:rPr>
          <w:rFonts w:ascii="Arial" w:cs="Arial" w:eastAsia="Arial" w:hAnsi="Arial"/>
          <w:sz w:val="19"/>
          <w:szCs w:val="19"/>
          <w:color w:val="auto"/>
        </w:rPr>
        <w:t>”) based on the estimated benefit derived by the space which is the subject of the Cost Pool, and such allocations shall be reasonably determined by Landlord. Accordingly, Direct Expenses shall be charged to the Lab Space, Retail Space and office space by virtue of the creation of Cost Pools. Direct Expenses which apply equally to the Lab Space, Retail Space and the office space (such as Landlord’s insurance costs, [except to the extent that any insurer expressly imposes a surcharge for, or Landlord requires additional coverages as a consequence of, Lab Space, in which case such surcharge or the cost of such additional coverage shall be allocated to the Lab Space Cost Pool]),as reasonably determined by Landlord, shall be allocated to the Lab Space Cost Pool, office space Cost Pool and the Retail Space Cost Pool, based on the square footage of each of those spaces, respectively, compared to the total square footage of the applicable Building. After the date of this Lease, Landlord may reasonably establish additional Cost Pools in connection with any new leases of the Project. Any costs allocated to a Cost Pool (e.g., Retail Space Cost Pool) which does not include a portion of the Premises shall be excluded from the definition of Direct Expenses for the purposes of this Lease.</w:t>
      </w:r>
    </w:p>
    <w:p>
      <w:pPr>
        <w:spacing w:after="0" w:line="158" w:lineRule="exact"/>
        <w:rPr>
          <w:sz w:val="20"/>
          <w:szCs w:val="20"/>
          <w:color w:val="auto"/>
        </w:rPr>
      </w:pPr>
    </w:p>
    <w:p>
      <w:pPr>
        <w:ind w:left="1260" w:hanging="626"/>
        <w:spacing w:after="0"/>
        <w:tabs>
          <w:tab w:leader="none" w:pos="12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Bicycle Storage Area</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5.3</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5.3.1</w:t>
      </w:r>
      <w:r>
        <w:rPr>
          <w:rFonts w:ascii="Arial" w:cs="Arial" w:eastAsia="Arial" w:hAnsi="Arial"/>
          <w:sz w:val="20"/>
          <w:szCs w:val="20"/>
          <w:b w:val="1"/>
          <w:bCs w:val="1"/>
          <w:color w:val="auto"/>
        </w:rPr>
        <w:t xml:space="preserve"> </w:t>
      </w:r>
      <w:r>
        <w:rPr>
          <w:rFonts w:ascii="Arial" w:cs="Arial" w:eastAsia="Arial" w:hAnsi="Arial"/>
          <w:sz w:val="20"/>
          <w:szCs w:val="20"/>
          <w:color w:val="auto"/>
        </w:rPr>
        <w:t>of the Original Lease are hereby amended and restated as</w:t>
      </w:r>
    </w:p>
    <w:p>
      <w:pPr>
        <w:spacing w:after="0" w:line="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follows:</w:t>
      </w:r>
    </w:p>
    <w:p>
      <w:pPr>
        <w:spacing w:after="0" w:line="154" w:lineRule="exact"/>
        <w:rPr>
          <w:sz w:val="20"/>
          <w:szCs w:val="20"/>
          <w:color w:val="auto"/>
        </w:rPr>
      </w:pPr>
    </w:p>
    <w:p>
      <w:pPr>
        <w:jc w:val="both"/>
        <w:ind w:left="640" w:right="620" w:firstLine="223"/>
        <w:spacing w:after="0" w:line="23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u w:val="single" w:color="auto"/>
          <w:color w:val="auto"/>
        </w:rPr>
        <w:t>Tenant’s Bicycles</w:t>
      </w:r>
      <w:r>
        <w:rPr>
          <w:rFonts w:ascii="Arial" w:cs="Arial" w:eastAsia="Arial" w:hAnsi="Arial"/>
          <w:sz w:val="19"/>
          <w:szCs w:val="19"/>
          <w:color w:val="auto"/>
        </w:rPr>
        <w:t>. Tenant’s employees shall be permitted to bring their bicycles (“</w:t>
      </w:r>
      <w:r>
        <w:rPr>
          <w:rFonts w:ascii="Arial" w:cs="Arial" w:eastAsia="Arial" w:hAnsi="Arial"/>
          <w:sz w:val="19"/>
          <w:szCs w:val="19"/>
          <w:b w:val="1"/>
          <w:bCs w:val="1"/>
          <w:color w:val="auto"/>
        </w:rPr>
        <w:t>Bicycles</w:t>
      </w:r>
      <w:r>
        <w:rPr>
          <w:rFonts w:ascii="Arial" w:cs="Arial" w:eastAsia="Arial" w:hAnsi="Arial"/>
          <w:sz w:val="19"/>
          <w:szCs w:val="19"/>
          <w:color w:val="auto"/>
        </w:rPr>
        <w:t xml:space="preserve">”) into portions of the Buildings designated by Landlord on a non-exclusive basis, and with appropriate Improvements or Alterations providing for Bicycle storage, subject to the provisions of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and such additional reasonable rules and regulations as may be promulgated by Landlord from time to time (in Landlord’s reasonable discretion) that do not unreasonably interfere with Tenant’s or other tenant’s ability to park their respective Bicycles as contemplated herein and provided to Tenant and other tenants, and only to the extent such Bicycles are used on a daily basis for commuting to and from work by such employees of Tenant and other tenants of the Buildings. AT NO TIME ARE RIDERS ALLOWED TO RIDE ANY BICYCLE IN THE PREMISES, THE PARKING FACILITIES OR THE BUILDINGS. Storage of any Bicycle anywhere on the Project other than as expressly set forth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is prohibited. Tenant shall keep its employees informed of these rules and regulations and any modifications thereto.</w:t>
      </w:r>
    </w:p>
    <w:p>
      <w:pPr>
        <w:spacing w:after="0" w:line="150" w:lineRule="exact"/>
        <w:rPr>
          <w:sz w:val="20"/>
          <w:szCs w:val="20"/>
          <w:color w:val="auto"/>
        </w:rPr>
      </w:pPr>
    </w:p>
    <w:p>
      <w:pPr>
        <w:jc w:val="both"/>
        <w:ind w:left="640" w:right="640" w:firstLine="586"/>
        <w:spacing w:after="0" w:line="290" w:lineRule="auto"/>
        <w:rPr>
          <w:sz w:val="20"/>
          <w:szCs w:val="20"/>
          <w:color w:val="auto"/>
        </w:rPr>
      </w:pPr>
      <w:r>
        <w:rPr>
          <w:rFonts w:ascii="Arial" w:cs="Arial" w:eastAsia="Arial" w:hAnsi="Arial"/>
          <w:sz w:val="19"/>
          <w:szCs w:val="19"/>
          <w:color w:val="auto"/>
        </w:rPr>
        <w:t xml:space="preserve">5.3.1 </w:t>
      </w:r>
      <w:r>
        <w:rPr>
          <w:rFonts w:ascii="Arial" w:cs="Arial" w:eastAsia="Arial" w:hAnsi="Arial"/>
          <w:sz w:val="19"/>
          <w:szCs w:val="19"/>
          <w:b w:val="1"/>
          <w:bCs w:val="1"/>
          <w:u w:val="single" w:color="auto"/>
          <w:color w:val="auto"/>
        </w:rPr>
        <w:t>Bicycle Storage Area</w:t>
      </w:r>
      <w:r>
        <w:rPr>
          <w:rFonts w:ascii="Arial" w:cs="Arial" w:eastAsia="Arial" w:hAnsi="Arial"/>
          <w:sz w:val="19"/>
          <w:szCs w:val="19"/>
          <w:color w:val="auto"/>
        </w:rPr>
        <w:t>. As part of the construction of the Base, Shell and Core, Landlord installed a secured bicycle storage area within the Parking Facilities that accommodates at least two hundred (200) Bicycles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4</w:t>
      </w:r>
    </w:p>
    <w:p>
      <w:pPr>
        <w:sectPr>
          <w:pgSz w:w="11900" w:h="16838" w:orient="portrait"/>
          <w:cols w:equalWidth="0" w:num="1">
            <w:col w:w="11240"/>
          </w:cols>
          <w:pgMar w:left="320" w:top="1364" w:right="339" w:bottom="1440" w:gutter="0" w:footer="0" w:header="0"/>
        </w:sectPr>
      </w:pPr>
    </w:p>
    <w:bookmarkStart w:id="120" w:name="page121"/>
    <w:bookmarkEnd w:id="120"/>
    <w:p>
      <w:pPr>
        <w:jc w:val="both"/>
        <w:ind w:left="640" w:right="620"/>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Bicycle Storage Area</w:t>
      </w:r>
      <w:r>
        <w:rPr>
          <w:rFonts w:ascii="Arial" w:cs="Arial" w:eastAsia="Arial" w:hAnsi="Arial"/>
          <w:sz w:val="19"/>
          <w:szCs w:val="19"/>
          <w:color w:val="auto"/>
        </w:rPr>
        <w:t xml:space="preserve">”). Tenant shall have the non-exclusive right to utilize the Bicycle Storage Area for day use parking of Bicycles by Tenant and Tenant’s employees, visitors, invitees and sublessees. Any references in the Lease to the Landlord Bicycle Storage Area shall hereafter mean and refer to the Bicycle Storage Area. Effective as of the Give-Back Date, Tenant’s assumption (in line 4 of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Original Lease) of all risk of damage to property or injury to persons in, upon or about the Bicycle Storage Area and Tenant’s indemnification from and against Loss incurred in connection with or arising from any cause in, on or about the Bicycle Storage Area shall no longer apply to Tenant’s use of the Bicycle Storage Area, and the words “the Bicycle Storage Area” shall be deleted from lines 4 and 13 of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Original Lease. Other than the Bicycle Storage Area, Tenant and Tenant’s employees, visitors, invitees and sublessees shall not be entitled to use any secured bicycle storage areas constructed by Landlord at the Project. Motorized vehicles of any kind, including motorcycles and mopeds, are prohibited in the Bicycle Storage Area, as is the storage of any property other than Bicycles. Each rider shall use the Bicycle Storage Area at is sole risk. Landlord specifically reserves the right to reasonably change the location, size, configuration, design, layout and all other aspects of the Bicycle Storage Area at any time (provided that no such action will materially diminish the capacity of the Bicycle Storage Area on other than a temporary basis), and Tenant acknowledges and agrees that Landlord may, without incurring any liability to Tenant and without any abatement of Rent under this Lease, from time to time, temporarily close-off or restrict access to the Bicycle Storage Area for purposes of permitting or facilitating any such construction, alteration or improvements. Landlord has no obligation to provide any security whatsoever in connection with the Bicycle Storage Area except as expressly set forth in this </w:t>
      </w:r>
      <w:r>
        <w:rPr>
          <w:rFonts w:ascii="Arial" w:cs="Arial" w:eastAsia="Arial" w:hAnsi="Arial"/>
          <w:sz w:val="19"/>
          <w:szCs w:val="19"/>
          <w:u w:val="single" w:color="auto"/>
          <w:color w:val="auto"/>
        </w:rPr>
        <w:t>Section 5.3.1</w:t>
      </w:r>
      <w:r>
        <w:rPr>
          <w:rFonts w:ascii="Arial" w:cs="Arial" w:eastAsia="Arial" w:hAnsi="Arial"/>
          <w:sz w:val="19"/>
          <w:szCs w:val="19"/>
          <w:color w:val="auto"/>
        </w:rPr>
        <w:t>. Landlord shall provide twenty-four (24) hours per day, seven (7) days per week, reasonable access control services for the Bicycle Storage Area in a manner materially consistent with the services provided by landlords of Comparable Buildings. Notwithstanding the foregoing, Landlord shall in no case be liable for personal injury or property damage for any error with regard to the admission to or exclusion from the Bicycle Storage Area of any person. Upon the expiration or earlier termination of this Lease, Tenant shall have removed all Bicycles belonging to its employees from the Bicycle Storage Area and Tenant, at Tenant’s sole cost and expense, shall repair all damage to the Bicycle Storage Area caused by the removal of Tenant’s property therefrom, and if Tenant fails to repair such damage, Landlord may undertake such repair on account of Tenant and Tenant shall pay to Landlord upon demand the cost of such repair. If Tenant fails to remove any Bicycles at the expiration or earlier termination of this Lease, Landlord may dispose of said Bicycles in such lawful manner as it shall determine in its sole and absolute discretion.</w:t>
      </w:r>
    </w:p>
    <w:p>
      <w:pPr>
        <w:spacing w:after="0" w:line="171" w:lineRule="exact"/>
        <w:rPr>
          <w:sz w:val="20"/>
          <w:szCs w:val="20"/>
          <w:color w:val="auto"/>
        </w:rPr>
      </w:pPr>
    </w:p>
    <w:p>
      <w:pPr>
        <w:ind w:firstLine="634"/>
        <w:spacing w:after="0" w:line="239" w:lineRule="auto"/>
        <w:tabs>
          <w:tab w:leader="none" w:pos="1259"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Services and Utilities</w:t>
      </w:r>
      <w:r>
        <w:rPr>
          <w:rFonts w:ascii="Arial" w:cs="Arial" w:eastAsia="Arial" w:hAnsi="Arial"/>
          <w:sz w:val="21"/>
          <w:szCs w:val="21"/>
          <w:color w:val="auto"/>
        </w:rPr>
        <w:t>. The following corresponding Sections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6</w:t>
      </w:r>
      <w:r>
        <w:rPr>
          <w:rFonts w:ascii="Arial" w:cs="Arial" w:eastAsia="Arial" w:hAnsi="Arial"/>
          <w:sz w:val="21"/>
          <w:szCs w:val="21"/>
          <w:b w:val="1"/>
          <w:bCs w:val="1"/>
          <w:color w:val="auto"/>
        </w:rPr>
        <w:t xml:space="preserve"> </w:t>
      </w:r>
      <w:r>
        <w:rPr>
          <w:rFonts w:ascii="Arial" w:cs="Arial" w:eastAsia="Arial" w:hAnsi="Arial"/>
          <w:sz w:val="21"/>
          <w:szCs w:val="21"/>
          <w:color w:val="auto"/>
        </w:rPr>
        <w:t>of the Existing Lease shall be deleted and</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and restated in their entirety as follows:</w:t>
      </w:r>
    </w:p>
    <w:p>
      <w:pPr>
        <w:spacing w:after="0" w:line="148" w:lineRule="exact"/>
        <w:rPr>
          <w:sz w:val="20"/>
          <w:szCs w:val="20"/>
          <w:color w:val="auto"/>
        </w:rPr>
      </w:pPr>
    </w:p>
    <w:p>
      <w:pPr>
        <w:jc w:val="both"/>
        <w:ind w:left="640" w:right="620" w:firstLine="498"/>
        <w:spacing w:after="0" w:line="217"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b w:val="1"/>
          <w:bCs w:val="1"/>
          <w:u w:val="single" w:color="auto"/>
          <w:color w:val="auto"/>
        </w:rPr>
        <w:t>HVAC</w:t>
      </w:r>
      <w:r>
        <w:rPr>
          <w:rFonts w:ascii="Arial" w:cs="Arial" w:eastAsia="Arial" w:hAnsi="Arial"/>
          <w:sz w:val="21"/>
          <w:szCs w:val="21"/>
          <w:color w:val="auto"/>
        </w:rPr>
        <w:t xml:space="preserve">. In accordance with the “Base Building” definition as provided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of the Work Letter, each of the North Complex and South Complex was equipped with a heating and air conditioning (“</w:t>
      </w:r>
      <w:r>
        <w:rPr>
          <w:rFonts w:ascii="Arial" w:cs="Arial" w:eastAsia="Arial" w:hAnsi="Arial"/>
          <w:sz w:val="21"/>
          <w:szCs w:val="21"/>
          <w:b w:val="1"/>
          <w:bCs w:val="1"/>
          <w:color w:val="auto"/>
        </w:rPr>
        <w:t>HVAC</w:t>
      </w:r>
      <w:r>
        <w:rPr>
          <w:rFonts w:ascii="Arial" w:cs="Arial" w:eastAsia="Arial" w:hAnsi="Arial"/>
          <w:sz w:val="21"/>
          <w:szCs w:val="21"/>
          <w:color w:val="auto"/>
        </w:rPr>
        <w:t>”) system serving the applicable Buildings within the North Complex and South Complex (collectively, the “</w:t>
      </w:r>
      <w:r>
        <w:rPr>
          <w:rFonts w:ascii="Arial" w:cs="Arial" w:eastAsia="Arial" w:hAnsi="Arial"/>
          <w:sz w:val="21"/>
          <w:szCs w:val="21"/>
          <w:b w:val="1"/>
          <w:bCs w:val="1"/>
          <w:color w:val="auto"/>
        </w:rPr>
        <w:t>BB HVAC</w:t>
      </w:r>
      <w:r>
        <w:rPr>
          <w:rFonts w:ascii="Arial" w:cs="Arial" w:eastAsia="Arial" w:hAnsi="Arial"/>
          <w:sz w:val="21"/>
          <w:szCs w:val="21"/>
          <w:color w:val="auto"/>
        </w:rPr>
        <w:t xml:space="preserve"> </w:t>
      </w:r>
      <w:r>
        <w:rPr>
          <w:rFonts w:ascii="Arial" w:cs="Arial" w:eastAsia="Arial" w:hAnsi="Arial"/>
          <w:sz w:val="21"/>
          <w:szCs w:val="21"/>
          <w:b w:val="1"/>
          <w:bCs w:val="1"/>
          <w:color w:val="auto"/>
        </w:rPr>
        <w:t>System</w:t>
      </w:r>
      <w:r>
        <w:rPr>
          <w:rFonts w:ascii="Arial" w:cs="Arial" w:eastAsia="Arial" w:hAnsi="Arial"/>
          <w:sz w:val="21"/>
          <w:szCs w:val="21"/>
          <w:color w:val="auto"/>
        </w:rPr>
        <w:t>”). Subject to limitations imposed by all governmental ordinances, rules, regulations and guidelines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thereto, Landlord shall provide BB HVAC System service for normal comfort for normal office use in the Premises, assuming an office occupancy density no greater than one (1) person for any 125 rentable square feet of space, from 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5</w:t>
      </w:r>
    </w:p>
    <w:p>
      <w:pPr>
        <w:sectPr>
          <w:pgSz w:w="11900" w:h="16838" w:orient="portrait"/>
          <w:cols w:equalWidth="0" w:num="1">
            <w:col w:w="11240"/>
          </w:cols>
          <w:pgMar w:left="320" w:top="1358" w:right="339" w:bottom="1440" w:gutter="0" w:footer="0" w:header="0"/>
        </w:sectPr>
      </w:pPr>
    </w:p>
    <w:bookmarkStart w:id="121" w:name="page122"/>
    <w:bookmarkEnd w:id="121"/>
    <w:p>
      <w:pPr>
        <w:jc w:val="both"/>
        <w:ind w:left="640" w:right="620"/>
        <w:spacing w:after="0" w:line="237" w:lineRule="auto"/>
        <w:rPr>
          <w:sz w:val="20"/>
          <w:szCs w:val="20"/>
          <w:color w:val="auto"/>
        </w:rPr>
      </w:pPr>
      <w:r>
        <w:rPr>
          <w:rFonts w:ascii="Arial" w:cs="Arial" w:eastAsia="Arial" w:hAnsi="Arial"/>
          <w:sz w:val="19"/>
          <w:szCs w:val="19"/>
          <w:color w:val="auto"/>
        </w:rPr>
        <w:t>A.M. to 6:00 P.M. Monday through Friday (the “</w:t>
      </w:r>
      <w:r>
        <w:rPr>
          <w:rFonts w:ascii="Arial" w:cs="Arial" w:eastAsia="Arial" w:hAnsi="Arial"/>
          <w:sz w:val="19"/>
          <w:szCs w:val="19"/>
          <w:b w:val="1"/>
          <w:bCs w:val="1"/>
          <w:color w:val="auto"/>
        </w:rPr>
        <w:t>Building Hours</w:t>
      </w:r>
      <w:r>
        <w:rPr>
          <w:rFonts w:ascii="Arial" w:cs="Arial" w:eastAsia="Arial" w:hAnsi="Arial"/>
          <w:sz w:val="19"/>
          <w:szCs w:val="19"/>
          <w:color w:val="auto"/>
        </w:rPr>
        <w:t>”), except for the date of observation of New Year’s Day, Memorial Day, Independence Day, Labor Day, Thanksgiving Day, Christmas Day and, at Landlord’s discretion, other locally or nationally recognized holidays (collectively, the “</w:t>
      </w:r>
      <w:r>
        <w:rPr>
          <w:rFonts w:ascii="Arial" w:cs="Arial" w:eastAsia="Arial" w:hAnsi="Arial"/>
          <w:sz w:val="19"/>
          <w:szCs w:val="19"/>
          <w:b w:val="1"/>
          <w:bCs w:val="1"/>
          <w:color w:val="auto"/>
        </w:rPr>
        <w:t>Holidays</w:t>
      </w:r>
      <w:r>
        <w:rPr>
          <w:rFonts w:ascii="Arial" w:cs="Arial" w:eastAsia="Arial" w:hAnsi="Arial"/>
          <w:sz w:val="19"/>
          <w:szCs w:val="19"/>
          <w:color w:val="auto"/>
        </w:rPr>
        <w:t>”). Tenant shall cooperate fully with Landlord at all times and abide by all regulations and requirements that Landlord may reasonably prescribe for the proper functioning and protection of the BB HVAC System. If Tenant desires to use HVAC during hours other than Building Hours, Tenant shall give Landlord’s property management office such prior notice (which shall be via telephone or an on-line system), if any, as Landlord reasonably shall from time to time establish as appropriate, of Tenant’s desired use of HVAC, and Landlord shall supply such HVAC to Tenant at such hourly cost to Tenant (which shall be treated as Additional Rent) as Landlord shall from time to time establish, provided that such costs shall be Landlord’s good faith estimate of the cost of providing such service with no markup for profit to Landlord.</w:t>
      </w:r>
    </w:p>
    <w:p>
      <w:pPr>
        <w:spacing w:after="0" w:line="150" w:lineRule="exact"/>
        <w:rPr>
          <w:sz w:val="20"/>
          <w:szCs w:val="20"/>
          <w:color w:val="auto"/>
        </w:rPr>
      </w:pPr>
    </w:p>
    <w:p>
      <w:pPr>
        <w:jc w:val="both"/>
        <w:ind w:left="640" w:right="620" w:firstLine="490"/>
        <w:spacing w:after="0" w:line="227" w:lineRule="auto"/>
        <w:rPr>
          <w:sz w:val="20"/>
          <w:szCs w:val="20"/>
          <w:color w:val="auto"/>
        </w:rPr>
      </w:pPr>
      <w:r>
        <w:rPr>
          <w:rFonts w:ascii="Arial" w:cs="Arial" w:eastAsia="Arial" w:hAnsi="Arial"/>
          <w:sz w:val="20"/>
          <w:szCs w:val="20"/>
          <w:color w:val="auto"/>
        </w:rPr>
        <w:t xml:space="preserve">6.1.9 </w:t>
      </w:r>
      <w:r>
        <w:rPr>
          <w:rFonts w:ascii="Arial" w:cs="Arial" w:eastAsia="Arial" w:hAnsi="Arial"/>
          <w:sz w:val="20"/>
          <w:szCs w:val="20"/>
          <w:b w:val="1"/>
          <w:bCs w:val="1"/>
          <w:u w:val="single" w:color="auto"/>
          <w:color w:val="auto"/>
        </w:rPr>
        <w:t>Access Control</w:t>
      </w:r>
      <w:r>
        <w:rPr>
          <w:rFonts w:ascii="Arial" w:cs="Arial" w:eastAsia="Arial" w:hAnsi="Arial"/>
          <w:sz w:val="20"/>
          <w:szCs w:val="20"/>
          <w:color w:val="auto"/>
        </w:rPr>
        <w:t>. As part of the construction of the Base Buildings, Landlord installed an access-control system for the Buildings and Parking Facilities, including, without limitation, door access controls, lobby turnstiles and elevator access controls; provided that the parties acknowledge that the North Lobby shall be open to the public and under Landlord’s control per Section 13(a) below and except as otherwise provided therein, and access will not be restricted during general business hours. Landlord shall not be obligated to provide any other security equipment. Notwithstanding any provision to the contrary set forth in this Lease, in no case, shall Landlord be liable for personal injury or property damage for any lack of security in the Building or for any error with regard to the admission to or exclusion from the Buildings or Project of any person.</w:t>
      </w:r>
    </w:p>
    <w:p>
      <w:pPr>
        <w:spacing w:after="0" w:line="148" w:lineRule="exact"/>
        <w:rPr>
          <w:sz w:val="20"/>
          <w:szCs w:val="20"/>
          <w:color w:val="auto"/>
        </w:rPr>
      </w:pPr>
    </w:p>
    <w:p>
      <w:pPr>
        <w:jc w:val="both"/>
        <w:ind w:firstLine="2518"/>
        <w:spacing w:after="0" w:line="236" w:lineRule="auto"/>
        <w:rPr>
          <w:sz w:val="20"/>
          <w:szCs w:val="20"/>
          <w:color w:val="auto"/>
        </w:rPr>
      </w:pPr>
      <w:r>
        <w:rPr>
          <w:rFonts w:ascii="Arial" w:cs="Arial" w:eastAsia="Arial" w:hAnsi="Arial"/>
          <w:sz w:val="19"/>
          <w:szCs w:val="19"/>
          <w:color w:val="auto"/>
        </w:rPr>
        <w:t xml:space="preserve">6.1.13 </w:t>
      </w:r>
      <w:r>
        <w:rPr>
          <w:rFonts w:ascii="Arial" w:cs="Arial" w:eastAsia="Arial" w:hAnsi="Arial"/>
          <w:sz w:val="19"/>
          <w:szCs w:val="19"/>
          <w:b w:val="1"/>
          <w:bCs w:val="1"/>
          <w:u w:val="single" w:color="auto"/>
          <w:color w:val="auto"/>
        </w:rPr>
        <w:t>Existing Generators</w:t>
      </w:r>
      <w:r>
        <w:rPr>
          <w:rFonts w:ascii="Arial" w:cs="Arial" w:eastAsia="Arial" w:hAnsi="Arial"/>
          <w:sz w:val="19"/>
          <w:szCs w:val="19"/>
          <w:color w:val="auto"/>
        </w:rPr>
        <w:t>. As part of the construction of the Project, Landlord installed three (3) generators for the Project (each and all related equipment defined collectively herein as a “</w:t>
      </w:r>
      <w:r>
        <w:rPr>
          <w:rFonts w:ascii="Arial" w:cs="Arial" w:eastAsia="Arial" w:hAnsi="Arial"/>
          <w:sz w:val="19"/>
          <w:szCs w:val="19"/>
          <w:b w:val="1"/>
          <w:bCs w:val="1"/>
          <w:color w:val="auto"/>
        </w:rPr>
        <w:t>Generator</w:t>
      </w:r>
      <w:r>
        <w:rPr>
          <w:rFonts w:ascii="Arial" w:cs="Arial" w:eastAsia="Arial" w:hAnsi="Arial"/>
          <w:sz w:val="19"/>
          <w:szCs w:val="19"/>
          <w:color w:val="auto"/>
        </w:rPr>
        <w:t xml:space="preserve">”). Two (2) of the Generators are identified as “TG-01 for the North Loading Dock” and “STG-01 for the South Loading Dock” and include all of the electrical equipment associated with such Generators (more particularly described on </w:t>
      </w:r>
      <w:r>
        <w:rPr>
          <w:rFonts w:ascii="Arial" w:cs="Arial" w:eastAsia="Arial" w:hAnsi="Arial"/>
          <w:sz w:val="19"/>
          <w:szCs w:val="19"/>
          <w:b w:val="1"/>
          <w:bCs w:val="1"/>
          <w:u w:val="single" w:color="auto"/>
          <w:color w:val="auto"/>
        </w:rPr>
        <w:t>Schedule 6.1.13</w:t>
      </w:r>
      <w:r>
        <w:rPr>
          <w:rFonts w:ascii="Arial" w:cs="Arial" w:eastAsia="Arial" w:hAnsi="Arial"/>
          <w:sz w:val="19"/>
          <w:szCs w:val="19"/>
          <w:color w:val="auto"/>
        </w:rPr>
        <w:t xml:space="preserve"> attached hereto), and all connections (cables, cable trays, etc.) attached to each such Generator. Pursuant to and subject to and in accordance with the terms of the Seventh Amendment, as of June 1, 2018, Tenant was granted the exclusive right to use and control the Generators identified as “TG-01 for the North Loading Dock” and “STG-01 for the South Loading Dock”. As a consequence of the Direct Lease and the North Complex becoming a multi-tenant portion of the Project, from and after the Give-Back Date the use and control of the Generator identified as “TG-01 for the North Loading Dock” (the “</w:t>
      </w:r>
      <w:r>
        <w:rPr>
          <w:rFonts w:ascii="Arial" w:cs="Arial" w:eastAsia="Arial" w:hAnsi="Arial"/>
          <w:sz w:val="19"/>
          <w:szCs w:val="19"/>
          <w:b w:val="1"/>
          <w:bCs w:val="1"/>
          <w:color w:val="auto"/>
        </w:rPr>
        <w:t>Non-exclusive Generator</w:t>
      </w:r>
      <w:r>
        <w:rPr>
          <w:rFonts w:ascii="Arial" w:cs="Arial" w:eastAsia="Arial" w:hAnsi="Arial"/>
          <w:sz w:val="19"/>
          <w:szCs w:val="19"/>
          <w:color w:val="auto"/>
        </w:rPr>
        <w:t>”) is being surrendered by Tenant and turned back to Landlord; and Tenant shall continue to have the exclusive right to use and control the Generator identified as “STG-01 for the South Loading Dock” (the “</w:t>
      </w:r>
      <w:r>
        <w:rPr>
          <w:rFonts w:ascii="Arial" w:cs="Arial" w:eastAsia="Arial" w:hAnsi="Arial"/>
          <w:sz w:val="19"/>
          <w:szCs w:val="19"/>
          <w:b w:val="1"/>
          <w:bCs w:val="1"/>
          <w:color w:val="auto"/>
        </w:rPr>
        <w:t>Tenant Generator</w:t>
      </w:r>
      <w:r>
        <w:rPr>
          <w:rFonts w:ascii="Arial" w:cs="Arial" w:eastAsia="Arial" w:hAnsi="Arial"/>
          <w:sz w:val="19"/>
          <w:szCs w:val="19"/>
          <w:color w:val="auto"/>
        </w:rPr>
        <w:t>”). Therefore, from and after the Give-Back Date the following terms and conditions shall apply to such Generators and shall supersede the terms of Section 2 of the Seventh Amendment.</w:t>
      </w:r>
    </w:p>
    <w:p>
      <w:pPr>
        <w:spacing w:after="0" w:line="149" w:lineRule="exact"/>
        <w:rPr>
          <w:sz w:val="20"/>
          <w:szCs w:val="20"/>
          <w:color w:val="auto"/>
        </w:rPr>
      </w:pPr>
    </w:p>
    <w:p>
      <w:pPr>
        <w:jc w:val="both"/>
        <w:ind w:firstLine="2518"/>
        <w:spacing w:after="0" w:line="218" w:lineRule="auto"/>
        <w:rPr>
          <w:sz w:val="20"/>
          <w:szCs w:val="20"/>
          <w:color w:val="auto"/>
        </w:rPr>
      </w:pPr>
      <w:r>
        <w:rPr>
          <w:rFonts w:ascii="Arial" w:cs="Arial" w:eastAsia="Arial" w:hAnsi="Arial"/>
          <w:sz w:val="21"/>
          <w:szCs w:val="21"/>
          <w:color w:val="auto"/>
        </w:rPr>
        <w:t xml:space="preserve">6.1.13.1 </w:t>
      </w:r>
      <w:r>
        <w:rPr>
          <w:rFonts w:ascii="Arial" w:cs="Arial" w:eastAsia="Arial" w:hAnsi="Arial"/>
          <w:sz w:val="21"/>
          <w:szCs w:val="21"/>
          <w:b w:val="1"/>
          <w:bCs w:val="1"/>
          <w:u w:val="single" w:color="auto"/>
          <w:color w:val="auto"/>
        </w:rPr>
        <w:t>Nonexclusive Generator</w:t>
      </w:r>
      <w:r>
        <w:rPr>
          <w:rFonts w:ascii="Arial" w:cs="Arial" w:eastAsia="Arial" w:hAnsi="Arial"/>
          <w:sz w:val="21"/>
          <w:szCs w:val="21"/>
          <w:color w:val="auto"/>
        </w:rPr>
        <w:t>. Effective as of the Give-Back Date, Tenant shall surrender the Nonexclusive Generator to Landlord in the same condition as the Nonexclusive Generator was in as of the date of the Seventh Amendment, reasonable wear and tear excepted, with all permits current (and Tenant shall transfer to Landlord all permits maintained by Tenant in connection with the Nonexclusive Generator as soon as is reasonably practicable following the Give-Back Date). From and after the Give-Back Date (subject to the Transition Plan), (i) Landlord shall maintain and repair the Nonexclusive Generator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6</w:t>
      </w:r>
    </w:p>
    <w:p>
      <w:pPr>
        <w:sectPr>
          <w:pgSz w:w="11900" w:h="16838" w:orient="portrait"/>
          <w:cols w:equalWidth="0" w:num="1">
            <w:col w:w="11240"/>
          </w:cols>
          <w:pgMar w:left="320" w:top="1358" w:right="339" w:bottom="1440" w:gutter="0" w:footer="0" w:header="0"/>
        </w:sectPr>
      </w:pPr>
    </w:p>
    <w:bookmarkStart w:id="122" w:name="page123"/>
    <w:bookmarkEnd w:id="122"/>
    <w:p>
      <w:pPr>
        <w:jc w:val="both"/>
        <w:spacing w:after="0" w:line="224" w:lineRule="auto"/>
        <w:rPr>
          <w:sz w:val="20"/>
          <w:szCs w:val="20"/>
          <w:color w:val="auto"/>
        </w:rPr>
      </w:pPr>
      <w:r>
        <w:rPr>
          <w:rFonts w:ascii="Arial" w:cs="Arial" w:eastAsia="Arial" w:hAnsi="Arial"/>
          <w:sz w:val="20"/>
          <w:szCs w:val="20"/>
          <w:color w:val="auto"/>
        </w:rPr>
        <w:t>condition and repair, and in compliance with all Applicable Laws (including the maintenance of all applicable permits), at Landlord’s sole cost and expense during the Lease Term (but passed through to Tenant and other tenants of the North Complex as part of Operating Expenses), and Landlord shall maintain all permits and warranties associated with the Nonexclusive Generator; and (ii) Tenant shall have the non-exclusive right to use Tenant’s pro rata share of the Nonexclusive Generator and maintain connections (cables, cable trays, etc.) (the "</w:t>
      </w:r>
      <w:r>
        <w:rPr>
          <w:rFonts w:ascii="Arial" w:cs="Arial" w:eastAsia="Arial" w:hAnsi="Arial"/>
          <w:sz w:val="20"/>
          <w:szCs w:val="20"/>
          <w:b w:val="1"/>
          <w:bCs w:val="1"/>
          <w:color w:val="auto"/>
        </w:rPr>
        <w:t>Generator Facilities</w:t>
      </w:r>
      <w:r>
        <w:rPr>
          <w:rFonts w:ascii="Arial" w:cs="Arial" w:eastAsia="Arial" w:hAnsi="Arial"/>
          <w:sz w:val="20"/>
          <w:szCs w:val="20"/>
          <w:color w:val="auto"/>
        </w:rPr>
        <w:t>") from the Nonexclusive Generator to the portion of the Remaining Premises located in the North Complex as such Generator Facilities exist as of the Give-Back Date (and as may hereafter be modified, subject to Landlord’s review and approval) and in compliance with Applicable Laws. The costs and expenses incurred by Landlord as a result of or in connection with operation, use, repairs, and maintenance of the Nonexclusive Generator, including costs for fuel, and depreciation (as reasonably determined by Landlord) shall be passed through to tenants and occupants of the North Complex (including Tenant) based on its pro rata share.</w:t>
      </w:r>
    </w:p>
    <w:p>
      <w:pPr>
        <w:spacing w:after="0" w:line="155" w:lineRule="exact"/>
        <w:rPr>
          <w:sz w:val="20"/>
          <w:szCs w:val="20"/>
          <w:color w:val="auto"/>
        </w:rPr>
      </w:pPr>
    </w:p>
    <w:p>
      <w:pPr>
        <w:jc w:val="both"/>
        <w:ind w:firstLine="2518"/>
        <w:spacing w:after="0" w:line="232" w:lineRule="auto"/>
        <w:rPr>
          <w:sz w:val="20"/>
          <w:szCs w:val="20"/>
          <w:color w:val="auto"/>
        </w:rPr>
      </w:pPr>
      <w:r>
        <w:rPr>
          <w:rFonts w:ascii="Arial" w:cs="Arial" w:eastAsia="Arial" w:hAnsi="Arial"/>
          <w:sz w:val="19"/>
          <w:szCs w:val="19"/>
          <w:color w:val="auto"/>
        </w:rPr>
        <w:t xml:space="preserve">1.6.13.2 </w:t>
      </w:r>
      <w:r>
        <w:rPr>
          <w:rFonts w:ascii="Arial" w:cs="Arial" w:eastAsia="Arial" w:hAnsi="Arial"/>
          <w:sz w:val="19"/>
          <w:szCs w:val="19"/>
          <w:b w:val="1"/>
          <w:bCs w:val="1"/>
          <w:u w:val="single" w:color="auto"/>
          <w:color w:val="auto"/>
        </w:rPr>
        <w:t>Tenant Generator</w:t>
      </w:r>
      <w:r>
        <w:rPr>
          <w:rFonts w:ascii="Arial" w:cs="Arial" w:eastAsia="Arial" w:hAnsi="Arial"/>
          <w:sz w:val="19"/>
          <w:szCs w:val="19"/>
          <w:color w:val="auto"/>
        </w:rPr>
        <w:t xml:space="preserve">. Tenant shall continue to have the exclusive right to use and control the Tenant Generator plus all of the electrical equipment associated with such Generator. When delivered to Tenant, the Tenant Generator was taken in its existing, “as is” condition, and Tenant hereby agrees and acknowledges that neither Landlord nor any agent of Landlord then made or has since made any representation or warranty regarding the condition of the Tenant Generator. Landlord shall not be liable for any damages whatsoever resulting from any failure in operation of the Tenant Generator, or the failure of the Tenant Generator to provide suitable or adequate back-up power, including but not limited to, loss of profits, loss of rents or other revenues, loss of business opportunity, loss of goodwill or loss of use, in each case, however occurring, or loss to inventory, business, accounting and other records of every kind and description kept at the Premises and any and all income derived or derivable therefrom. In the event that Landlord shall incur any costs as a result of or in connection with the rights granted to Tenant herein with respect to the Tenant Generator, Tenant shall reimburse Landlord for the same within forty-five (45) days of request. Tenant shall not be charged any additional rental or other costs for the use of the locations in which the Tenant Generator is located. Tenant shall maintain and repair the Tenant Generator in good condition and repair, and in compliance with all Applicable Laws (including the maintenance of all applicable permits), at Tenant’s sole cost and expense during the Lease Term, and without the need for request from Landlord, Tenant shall provide copies of all maintenance and repair records and all permits and warranties to Landlord. Tenant’s obligations with respect to the Premises, including the insurance and indemnification obligations contained in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above, shall apply to Tenant’s use of the Tenant Generator and, in addition, Tenant shall maintain, at Tenant’s cost, industry standard “boiler and machinery” insurance coverage with respect thereto. Tenant shall surrender the Tenant Generator (and shall transfer to Landlord all permits maintained by Tenant in connection with the Tenant Generator during the Lease Term and all warranties then in effect) concurrent with the surrender of the Premises to Landlord as required hereunder in the same condition as the Tenant Generator was in as of the date of the Seventh Amendment, reasonable wear and tear excepted, with all permits current. Tenant shall indemnify, defend, protect, and hold harmless Landlord, its partners, subpartners and their respective officers, agents, servants, employees, and independent contractors from any and all loss, cost, damage, expense and liability (including, without limitation, court costs and reasonable attorneys’ fees) incurred in connection with or arising from any cause related to or connected with the installation, use, operation, repair and/or removal of the Tenant Generator and/or any acts, omissions or negligence of Tenant or of any person claiming by, through or under Tenant, or of the contractors, agents, servants, employees, invitees, guests or licensees of Tenant or any such person, in connection with the Tenant Generator or any breach of the terms of this </w:t>
      </w:r>
      <w:r>
        <w:rPr>
          <w:rFonts w:ascii="Arial" w:cs="Arial" w:eastAsia="Arial" w:hAnsi="Arial"/>
          <w:sz w:val="19"/>
          <w:szCs w:val="19"/>
          <w:u w:val="single" w:color="auto"/>
          <w:color w:val="auto"/>
        </w:rPr>
        <w:t>Section 6.1.13.2</w:t>
      </w:r>
      <w:r>
        <w:rPr>
          <w:rFonts w:ascii="Arial" w:cs="Arial" w:eastAsia="Arial" w:hAnsi="Arial"/>
          <w:sz w:val="19"/>
          <w:szCs w:val="19"/>
          <w:color w:val="auto"/>
        </w:rPr>
        <w:t>, provided that the terms of the foregoing indemnity shall not apply to the negligence or willful misconduct of Landlord. In the event that Tenant shall fail to comply with the requirements set forth herein, without limitation of Landlord’s other remedies, (i) Landlord shall have the right to terminate Tenant’s rights with respect to the Tenant Generator,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7</w:t>
      </w:r>
    </w:p>
    <w:p>
      <w:pPr>
        <w:sectPr>
          <w:pgSz w:w="11900" w:h="16838" w:orient="portrait"/>
          <w:cols w:equalWidth="0" w:num="1">
            <w:col w:w="11240"/>
          </w:cols>
          <w:pgMar w:left="320" w:top="1364" w:right="339" w:bottom="1440" w:gutter="0" w:footer="0" w:header="0"/>
        </w:sectPr>
      </w:pPr>
    </w:p>
    <w:bookmarkStart w:id="123" w:name="page124"/>
    <w:bookmarkEnd w:id="123"/>
    <w:p>
      <w:pPr>
        <w:jc w:val="both"/>
        <w:spacing w:after="0" w:line="233" w:lineRule="auto"/>
        <w:rPr>
          <w:sz w:val="20"/>
          <w:szCs w:val="20"/>
          <w:color w:val="auto"/>
        </w:rPr>
      </w:pPr>
      <w:r>
        <w:rPr>
          <w:rFonts w:ascii="Arial" w:cs="Arial" w:eastAsia="Arial" w:hAnsi="Arial"/>
          <w:sz w:val="20"/>
          <w:szCs w:val="20"/>
          <w:color w:val="auto"/>
        </w:rPr>
        <w:t>Landlord shall have the right, at Tenant’s sole cost and expense, to cure such breach, in which event Tenant shall be obligated to pay Landlord, within forty-five (45) days of request, the amount expended by Landlord, plus Landlord’s standard administration fee. The rights granted to Tenant hereunder shall be personal to the Original Tenant and any Permitted Assignee Transferee (and may not be utilized by or assigned to any other assignee, sublessee or any other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634"/>
        <w:spacing w:after="0" w:line="235" w:lineRule="auto"/>
        <w:tabs>
          <w:tab w:leader="none" w:pos="1259"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w:t>
      </w:r>
      <w:r>
        <w:rPr>
          <w:rFonts w:ascii="Arial" w:cs="Arial" w:eastAsia="Arial" w:hAnsi="Arial"/>
          <w:sz w:val="16"/>
          <w:szCs w:val="16"/>
          <w:b w:val="1"/>
          <w:bCs w:val="1"/>
          <w:u w:val="single" w:color="auto"/>
          <w:color w:val="auto"/>
        </w:rPr>
        <w:t>RANSITION TO A</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M</w:t>
      </w:r>
      <w:r>
        <w:rPr>
          <w:rFonts w:ascii="Arial" w:cs="Arial" w:eastAsia="Arial" w:hAnsi="Arial"/>
          <w:sz w:val="16"/>
          <w:szCs w:val="16"/>
          <w:b w:val="1"/>
          <w:bCs w:val="1"/>
          <w:u w:val="single" w:color="auto"/>
          <w:color w:val="auto"/>
        </w:rPr>
        <w:t>ULTI</w:t>
      </w:r>
      <w:r>
        <w:rPr>
          <w:rFonts w:ascii="Arial" w:cs="Arial" w:eastAsia="Arial" w:hAnsi="Arial"/>
          <w:sz w:val="20"/>
          <w:szCs w:val="20"/>
          <w:b w:val="1"/>
          <w:bCs w:val="1"/>
          <w:u w:val="single" w:color="auto"/>
          <w:color w:val="auto"/>
        </w:rPr>
        <w:t>-T</w:t>
      </w:r>
      <w:r>
        <w:rPr>
          <w:rFonts w:ascii="Arial" w:cs="Arial" w:eastAsia="Arial" w:hAnsi="Arial"/>
          <w:sz w:val="16"/>
          <w:szCs w:val="16"/>
          <w:b w:val="1"/>
          <w:bCs w:val="1"/>
          <w:u w:val="single" w:color="auto"/>
          <w:color w:val="auto"/>
        </w:rPr>
        <w:t>ENANT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w:t>
      </w:r>
      <w:r>
        <w:rPr>
          <w:rFonts w:ascii="Arial" w:cs="Arial" w:eastAsia="Arial" w:hAnsi="Arial"/>
          <w:sz w:val="16"/>
          <w:szCs w:val="16"/>
          <w:b w:val="1"/>
          <w:bCs w:val="1"/>
          <w:u w:val="single" w:color="auto"/>
          <w:color w:val="auto"/>
        </w:rPr>
        <w:t>ROJECT</w:t>
      </w:r>
      <w:r>
        <w:rPr>
          <w:rFonts w:ascii="Arial" w:cs="Arial" w:eastAsia="Arial" w:hAnsi="Arial"/>
          <w:sz w:val="20"/>
          <w:szCs w:val="20"/>
          <w:color w:val="auto"/>
        </w:rPr>
        <w:t>. In order to transition the Project from a single-tenant Project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control and management of Tenant to a multi-tenant Project (specifically, as to the North Complex) under the control and management of Landlord, Tenant shall work with Landlord cooperatively and in good faith to accomplish an orderly turnover of management control from Tenant to Landlord of the following various aspects and areas of the Project:</w:t>
      </w:r>
    </w:p>
    <w:p>
      <w:pPr>
        <w:spacing w:after="0" w:line="154" w:lineRule="exact"/>
        <w:rPr>
          <w:rFonts w:ascii="Arial" w:cs="Arial" w:eastAsia="Arial" w:hAnsi="Arial"/>
          <w:sz w:val="20"/>
          <w:szCs w:val="20"/>
          <w:b w:val="1"/>
          <w:bCs w:val="1"/>
          <w:color w:val="auto"/>
        </w:rPr>
      </w:pPr>
    </w:p>
    <w:p>
      <w:pPr>
        <w:jc w:val="both"/>
        <w:ind w:firstLine="1264"/>
        <w:spacing w:after="0" w:line="227" w:lineRule="auto"/>
        <w:tabs>
          <w:tab w:leader="none" w:pos="1885"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North Lobby (including without limitation, responsibility for janitorial service, security, HVAC, repairs and maintenance, and reception services in the North Building and turnstiles in the North Tower [excluding, however, the “Little r” turnstiles in the North Tower, which will continue to be controlled by Tenant])).</w:t>
      </w:r>
    </w:p>
    <w:p>
      <w:pPr>
        <w:spacing w:after="0" w:line="154" w:lineRule="exact"/>
        <w:rPr>
          <w:rFonts w:ascii="Arial" w:cs="Arial" w:eastAsia="Arial" w:hAnsi="Arial"/>
          <w:sz w:val="21"/>
          <w:szCs w:val="21"/>
          <w:color w:val="auto"/>
        </w:rPr>
      </w:pPr>
    </w:p>
    <w:p>
      <w:pPr>
        <w:jc w:val="both"/>
        <w:ind w:firstLine="1264"/>
        <w:spacing w:after="0" w:line="219" w:lineRule="auto"/>
        <w:tabs>
          <w:tab w:leader="none" w:pos="1884" w:val="left"/>
        </w:tabs>
        <w:numPr>
          <w:ilvl w:val="1"/>
          <w:numId w:val="61"/>
        </w:numPr>
        <w:rPr>
          <w:rFonts w:ascii="Arial" w:cs="Arial" w:eastAsia="Arial" w:hAnsi="Arial"/>
          <w:sz w:val="21"/>
          <w:szCs w:val="21"/>
          <w:color w:val="auto"/>
        </w:rPr>
      </w:pPr>
      <w:r>
        <w:rPr>
          <w:rFonts w:ascii="Arial" w:cs="Arial" w:eastAsia="Arial" w:hAnsi="Arial"/>
          <w:sz w:val="21"/>
          <w:szCs w:val="21"/>
          <w:color w:val="auto"/>
        </w:rPr>
        <w:t xml:space="preserve">The Roof Deck (as defined in </w:t>
      </w:r>
      <w:r>
        <w:rPr>
          <w:rFonts w:ascii="Arial" w:cs="Arial" w:eastAsia="Arial" w:hAnsi="Arial"/>
          <w:sz w:val="21"/>
          <w:szCs w:val="21"/>
          <w:u w:val="single" w:color="auto"/>
          <w:color w:val="auto"/>
        </w:rPr>
        <w:t>Section 22.1</w:t>
      </w:r>
      <w:r>
        <w:rPr>
          <w:rFonts w:ascii="Arial" w:cs="Arial" w:eastAsia="Arial" w:hAnsi="Arial"/>
          <w:sz w:val="21"/>
          <w:szCs w:val="21"/>
          <w:color w:val="auto"/>
        </w:rPr>
        <w:t xml:space="preserve"> of the Lease) shall be Common Area. Tenant acknowledges and agrees that other tenants of the Project can only access the Roof Deck through a portion of Tenant’s Premises located on floor 7 of the North Tower, and Tenant will cooperate with Landlord to establish a path of travel for tenants and their employees and invitees to be able to enjoy ingress and egress to and from the Roof Deck. The Roof Deck is more particularly addressed in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of this Eighth Amendment.</w:t>
      </w:r>
    </w:p>
    <w:p>
      <w:pPr>
        <w:spacing w:after="0" w:line="157" w:lineRule="exact"/>
        <w:rPr>
          <w:rFonts w:ascii="Arial" w:cs="Arial" w:eastAsia="Arial" w:hAnsi="Arial"/>
          <w:sz w:val="21"/>
          <w:szCs w:val="21"/>
          <w:color w:val="auto"/>
        </w:rPr>
      </w:pPr>
    </w:p>
    <w:p>
      <w:pPr>
        <w:ind w:left="1900" w:hanging="636"/>
        <w:spacing w:after="0"/>
        <w:tabs>
          <w:tab w:leader="none" w:pos="1900" w:val="left"/>
        </w:tabs>
        <w:numPr>
          <w:ilvl w:val="1"/>
          <w:numId w:val="61"/>
        </w:numPr>
        <w:rPr>
          <w:rFonts w:ascii="Arial" w:cs="Arial" w:eastAsia="Arial" w:hAnsi="Arial"/>
          <w:sz w:val="21"/>
          <w:szCs w:val="21"/>
          <w:color w:val="auto"/>
        </w:rPr>
      </w:pPr>
      <w:r>
        <w:rPr>
          <w:rFonts w:ascii="Arial" w:cs="Arial" w:eastAsia="Arial" w:hAnsi="Arial"/>
          <w:sz w:val="21"/>
          <w:szCs w:val="21"/>
          <w:color w:val="auto"/>
        </w:rPr>
        <w:t xml:space="preserve">Bicycle Storage Area, as more particularly addressed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this Eighth Amendment.</w:t>
      </w:r>
    </w:p>
    <w:p>
      <w:pPr>
        <w:spacing w:after="0" w:line="178" w:lineRule="exact"/>
        <w:rPr>
          <w:rFonts w:ascii="Arial" w:cs="Arial" w:eastAsia="Arial" w:hAnsi="Arial"/>
          <w:sz w:val="21"/>
          <w:szCs w:val="21"/>
          <w:color w:val="auto"/>
        </w:rPr>
      </w:pPr>
    </w:p>
    <w:p>
      <w:pPr>
        <w:ind w:left="1880" w:hanging="616"/>
        <w:spacing w:after="0"/>
        <w:tabs>
          <w:tab w:leader="none" w:pos="18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Janitorial services for the Common Areas within the North Complex (including, without limitation, the North</w:t>
      </w:r>
    </w:p>
    <w:p>
      <w:pPr>
        <w:spacing w:after="0" w:line="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Lobby).</w:t>
      </w:r>
    </w:p>
    <w:p>
      <w:pPr>
        <w:spacing w:after="0" w:line="160" w:lineRule="exact"/>
        <w:rPr>
          <w:rFonts w:ascii="Arial" w:cs="Arial" w:eastAsia="Arial" w:hAnsi="Arial"/>
          <w:sz w:val="19"/>
          <w:szCs w:val="19"/>
          <w:color w:val="auto"/>
        </w:rPr>
      </w:pPr>
    </w:p>
    <w:p>
      <w:pPr>
        <w:ind w:firstLine="1264"/>
        <w:spacing w:after="0" w:line="236" w:lineRule="auto"/>
        <w:tabs>
          <w:tab w:leader="none" w:pos="1885" w:val="left"/>
        </w:tabs>
        <w:numPr>
          <w:ilvl w:val="1"/>
          <w:numId w:val="61"/>
        </w:numPr>
        <w:rPr>
          <w:rFonts w:ascii="Arial" w:cs="Arial" w:eastAsia="Arial" w:hAnsi="Arial"/>
          <w:sz w:val="21"/>
          <w:szCs w:val="21"/>
          <w:color w:val="auto"/>
        </w:rPr>
      </w:pPr>
      <w:r>
        <w:rPr>
          <w:rFonts w:ascii="Arial" w:cs="Arial" w:eastAsia="Arial" w:hAnsi="Arial"/>
          <w:sz w:val="21"/>
          <w:szCs w:val="21"/>
          <w:color w:val="auto"/>
        </w:rPr>
        <w:t>Shafts within the North Tower shall be Common Areas (provided, however, that the floor area of each floor of the North Complex shall not be revised as a result of any such shafts being considered as Common Area).</w:t>
      </w:r>
    </w:p>
    <w:p>
      <w:pPr>
        <w:spacing w:after="0" w:line="140" w:lineRule="exact"/>
        <w:rPr>
          <w:rFonts w:ascii="Arial" w:cs="Arial" w:eastAsia="Arial" w:hAnsi="Arial"/>
          <w:sz w:val="21"/>
          <w:szCs w:val="21"/>
          <w:color w:val="auto"/>
        </w:rPr>
      </w:pPr>
    </w:p>
    <w:p>
      <w:pPr>
        <w:ind w:left="1900" w:hanging="636"/>
        <w:spacing w:after="0"/>
        <w:tabs>
          <w:tab w:leader="none" w:pos="1900" w:val="left"/>
        </w:tabs>
        <w:numPr>
          <w:ilvl w:val="1"/>
          <w:numId w:val="61"/>
        </w:numPr>
        <w:rPr>
          <w:rFonts w:ascii="Arial" w:cs="Arial" w:eastAsia="Arial" w:hAnsi="Arial"/>
          <w:sz w:val="21"/>
          <w:szCs w:val="21"/>
          <w:color w:val="auto"/>
        </w:rPr>
      </w:pPr>
      <w:r>
        <w:rPr>
          <w:rFonts w:ascii="Arial" w:cs="Arial" w:eastAsia="Arial" w:hAnsi="Arial"/>
          <w:sz w:val="21"/>
          <w:szCs w:val="21"/>
          <w:color w:val="auto"/>
        </w:rPr>
        <w:t xml:space="preserve">Generators serving the North Complex, as more particularly addressed in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of this Eighth</w:t>
      </w:r>
    </w:p>
    <w:p>
      <w:pPr>
        <w:spacing w:after="0"/>
        <w:rPr>
          <w:rFonts w:ascii="Arial" w:cs="Arial" w:eastAsia="Arial" w:hAnsi="Arial"/>
          <w:sz w:val="21"/>
          <w:szCs w:val="21"/>
          <w:color w:val="auto"/>
        </w:rPr>
      </w:pPr>
      <w:r>
        <w:rPr>
          <w:rFonts w:ascii="Arial" w:cs="Arial" w:eastAsia="Arial" w:hAnsi="Arial"/>
          <w:sz w:val="21"/>
          <w:szCs w:val="21"/>
          <w:color w:val="auto"/>
        </w:rPr>
        <w:t>Amendment.</w:t>
      </w:r>
    </w:p>
    <w:p>
      <w:pPr>
        <w:spacing w:after="0" w:line="160" w:lineRule="exact"/>
        <w:rPr>
          <w:rFonts w:ascii="Arial" w:cs="Arial" w:eastAsia="Arial" w:hAnsi="Arial"/>
          <w:sz w:val="21"/>
          <w:szCs w:val="21"/>
          <w:color w:val="auto"/>
        </w:rPr>
      </w:pPr>
    </w:p>
    <w:p>
      <w:pPr>
        <w:jc w:val="both"/>
        <w:ind w:firstLine="1264"/>
        <w:spacing w:after="0" w:line="216" w:lineRule="auto"/>
        <w:tabs>
          <w:tab w:leader="none" w:pos="1884" w:val="left"/>
        </w:tabs>
        <w:numPr>
          <w:ilvl w:val="1"/>
          <w:numId w:val="61"/>
        </w:numPr>
        <w:rPr>
          <w:rFonts w:ascii="Arial" w:cs="Arial" w:eastAsia="Arial" w:hAnsi="Arial"/>
          <w:sz w:val="21"/>
          <w:szCs w:val="21"/>
          <w:color w:val="auto"/>
        </w:rPr>
      </w:pPr>
      <w:r>
        <w:rPr>
          <w:rFonts w:ascii="Arial" w:cs="Arial" w:eastAsia="Arial" w:hAnsi="Arial"/>
          <w:sz w:val="21"/>
          <w:szCs w:val="21"/>
          <w:color w:val="auto"/>
        </w:rPr>
        <w:t>Building card readers/ access control responsibilities (i) within the Give-Back Space, (ii) within the Common Areas of the North Complex (including without limitation all card readers associated with elevator access control), and (iii) the exterior doors of the North Complex (including without limitation all card readers associated with the Roof Deck) shall be relinquished as of the Give-Back Date, and Tenant shall cooperate with Landlord in transitioning management control of all such card readers as soon as is reasonably practicable after the Give-Back Date, including, without limitation, Tenant arranging for, and causing, its vendor (i.e., BEI Construction) to assist Landlord’s vendor (i.e., Johnson Controls) to facilitate the expeditious turnover of such management control to Landlord.</w:t>
      </w:r>
    </w:p>
    <w:p>
      <w:pPr>
        <w:spacing w:after="0" w:line="157" w:lineRule="exact"/>
        <w:rPr>
          <w:rFonts w:ascii="Arial" w:cs="Arial" w:eastAsia="Arial" w:hAnsi="Arial"/>
          <w:sz w:val="21"/>
          <w:szCs w:val="21"/>
          <w:color w:val="auto"/>
        </w:rPr>
      </w:pPr>
    </w:p>
    <w:p>
      <w:pPr>
        <w:ind w:left="1880" w:hanging="616"/>
        <w:spacing w:after="0"/>
        <w:tabs>
          <w:tab w:leader="none" w:pos="1880" w:val="left"/>
        </w:tabs>
        <w:numPr>
          <w:ilvl w:val="1"/>
          <w:numId w:val="61"/>
        </w:numPr>
        <w:rPr>
          <w:rFonts w:ascii="Arial" w:cs="Arial" w:eastAsia="Arial" w:hAnsi="Arial"/>
          <w:sz w:val="21"/>
          <w:szCs w:val="21"/>
          <w:color w:val="auto"/>
        </w:rPr>
      </w:pPr>
      <w:r>
        <w:rPr>
          <w:rFonts w:ascii="Arial" w:cs="Arial" w:eastAsia="Arial" w:hAnsi="Arial"/>
          <w:sz w:val="21"/>
          <w:szCs w:val="21"/>
          <w:color w:val="auto"/>
        </w:rPr>
        <w:t>Minimum point of entry (MPOE) for the North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8</w:t>
      </w:r>
    </w:p>
    <w:p>
      <w:pPr>
        <w:sectPr>
          <w:pgSz w:w="11900" w:h="16838" w:orient="portrait"/>
          <w:cols w:equalWidth="0" w:num="1">
            <w:col w:w="11240"/>
          </w:cols>
          <w:pgMar w:left="320" w:top="1364" w:right="339" w:bottom="1440" w:gutter="0" w:footer="0" w:header="0"/>
        </w:sectPr>
      </w:pPr>
    </w:p>
    <w:bookmarkStart w:id="124" w:name="page125"/>
    <w:bookmarkEnd w:id="124"/>
    <w:p>
      <w:pPr>
        <w:jc w:val="both"/>
        <w:ind w:firstLine="1264"/>
        <w:spacing w:after="0" w:line="222" w:lineRule="auto"/>
        <w:tabs>
          <w:tab w:leader="none" w:pos="1876" w:val="left"/>
        </w:tabs>
        <w:numPr>
          <w:ilvl w:val="0"/>
          <w:numId w:val="62"/>
        </w:numPr>
        <w:rPr>
          <w:rFonts w:ascii="Arial" w:cs="Arial" w:eastAsia="Arial" w:hAnsi="Arial"/>
          <w:sz w:val="21"/>
          <w:szCs w:val="21"/>
          <w:color w:val="auto"/>
        </w:rPr>
      </w:pPr>
      <w:r>
        <w:rPr>
          <w:rFonts w:ascii="Arial" w:cs="Arial" w:eastAsia="Arial" w:hAnsi="Arial"/>
          <w:sz w:val="21"/>
          <w:szCs w:val="21"/>
          <w:color w:val="auto"/>
        </w:rPr>
        <w:t>Lutron system controller within the Give-Back Space and the Common Areas of the North Complex shall be relinquished as of the Give-Back Date, and Tenant shall cooperate with Landlord to facilitate the expeditious turnover of such management control to Landlord (including the separation of such system between the Premises and other areas under Tenant’s control and the Give Back Space and areas under Landlord’s control).</w:t>
      </w:r>
    </w:p>
    <w:p>
      <w:pPr>
        <w:spacing w:after="0" w:line="155" w:lineRule="exact"/>
        <w:rPr>
          <w:rFonts w:ascii="Arial" w:cs="Arial" w:eastAsia="Arial" w:hAnsi="Arial"/>
          <w:sz w:val="21"/>
          <w:szCs w:val="21"/>
          <w:color w:val="auto"/>
        </w:rPr>
      </w:pPr>
    </w:p>
    <w:p>
      <w:pPr>
        <w:jc w:val="both"/>
        <w:ind w:firstLine="1264"/>
        <w:spacing w:after="0" w:line="222" w:lineRule="auto"/>
        <w:tabs>
          <w:tab w:leader="none" w:pos="1876" w:val="left"/>
        </w:tabs>
        <w:numPr>
          <w:ilvl w:val="0"/>
          <w:numId w:val="62"/>
        </w:numPr>
        <w:rPr>
          <w:rFonts w:ascii="Arial" w:cs="Arial" w:eastAsia="Arial" w:hAnsi="Arial"/>
          <w:sz w:val="21"/>
          <w:szCs w:val="21"/>
          <w:color w:val="auto"/>
        </w:rPr>
      </w:pPr>
      <w:r>
        <w:rPr>
          <w:rFonts w:ascii="Arial" w:cs="Arial" w:eastAsia="Arial" w:hAnsi="Arial"/>
          <w:sz w:val="21"/>
          <w:szCs w:val="21"/>
          <w:color w:val="auto"/>
        </w:rPr>
        <w:t>Mechanical, electrical and plumbing (MEP) systems serving the Give Back Space and the Common Areas within the North Complex [including, without limitation, the terminal units (i.e., the VAVs) serving the Give-Back Space and the Common Areas within the North Complex], and Tenant shall cooperate with Landlord to facilitate the expeditious turnover of such management control to Landlord of such systems.</w:t>
      </w:r>
    </w:p>
    <w:p>
      <w:pPr>
        <w:spacing w:after="0" w:line="155" w:lineRule="exact"/>
        <w:rPr>
          <w:rFonts w:ascii="Arial" w:cs="Arial" w:eastAsia="Arial" w:hAnsi="Arial"/>
          <w:sz w:val="21"/>
          <w:szCs w:val="21"/>
          <w:color w:val="auto"/>
        </w:rPr>
      </w:pPr>
    </w:p>
    <w:p>
      <w:pPr>
        <w:ind w:left="1880" w:hanging="616"/>
        <w:spacing w:after="0"/>
        <w:tabs>
          <w:tab w:leader="none" w:pos="18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Signage changes, as more particularly addressed in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of this Eighth Amendment.</w:t>
      </w:r>
    </w:p>
    <w:p>
      <w:pPr>
        <w:spacing w:after="0" w:line="178" w:lineRule="exact"/>
        <w:rPr>
          <w:rFonts w:ascii="Arial" w:cs="Arial" w:eastAsia="Arial" w:hAnsi="Arial"/>
          <w:sz w:val="21"/>
          <w:szCs w:val="21"/>
          <w:color w:val="auto"/>
        </w:rPr>
      </w:pPr>
    </w:p>
    <w:p>
      <w:pPr>
        <w:jc w:val="both"/>
        <w:ind w:firstLine="1264"/>
        <w:spacing w:after="0" w:line="227" w:lineRule="auto"/>
        <w:tabs>
          <w:tab w:leader="none" w:pos="1876" w:val="left"/>
        </w:tabs>
        <w:numPr>
          <w:ilvl w:val="0"/>
          <w:numId w:val="62"/>
        </w:numPr>
        <w:rPr>
          <w:rFonts w:ascii="Arial" w:cs="Arial" w:eastAsia="Arial" w:hAnsi="Arial"/>
          <w:sz w:val="21"/>
          <w:szCs w:val="21"/>
          <w:color w:val="auto"/>
        </w:rPr>
      </w:pPr>
      <w:r>
        <w:rPr>
          <w:rFonts w:ascii="Arial" w:cs="Arial" w:eastAsia="Arial" w:hAnsi="Arial"/>
          <w:sz w:val="21"/>
          <w:szCs w:val="21"/>
          <w:color w:val="auto"/>
        </w:rPr>
        <w:t>Health &amp; Safety compliance requirements, and Tenant shall cooperate with Landlord in promptly delivering to Landlord all health and safety compliance related documents and notification requirements relating to the North Complex in Tenant’s possession or control.</w:t>
      </w:r>
    </w:p>
    <w:p>
      <w:pPr>
        <w:spacing w:after="0" w:line="154" w:lineRule="exact"/>
        <w:rPr>
          <w:rFonts w:ascii="Arial" w:cs="Arial" w:eastAsia="Arial" w:hAnsi="Arial"/>
          <w:sz w:val="21"/>
          <w:szCs w:val="21"/>
          <w:color w:val="auto"/>
        </w:rPr>
      </w:pPr>
    </w:p>
    <w:p>
      <w:pPr>
        <w:jc w:val="both"/>
        <w:ind w:firstLine="1264"/>
        <w:spacing w:after="0" w:line="227" w:lineRule="auto"/>
        <w:tabs>
          <w:tab w:leader="none" w:pos="1876" w:val="left"/>
        </w:tabs>
        <w:numPr>
          <w:ilvl w:val="0"/>
          <w:numId w:val="62"/>
        </w:numPr>
        <w:rPr>
          <w:rFonts w:ascii="Arial" w:cs="Arial" w:eastAsia="Arial" w:hAnsi="Arial"/>
          <w:sz w:val="21"/>
          <w:szCs w:val="21"/>
          <w:color w:val="auto"/>
        </w:rPr>
      </w:pPr>
      <w:r>
        <w:rPr>
          <w:rFonts w:ascii="Arial" w:cs="Arial" w:eastAsia="Arial" w:hAnsi="Arial"/>
          <w:sz w:val="21"/>
          <w:szCs w:val="21"/>
          <w:color w:val="auto"/>
        </w:rPr>
        <w:t>Emergency preparedness and response, and Tenant shall cooperate with Landlord in promptly delivering to Landlord all emergency preparedness plans and related materials and notification requirements relating to the North Complex in Tenant’s possession or control.</w:t>
      </w:r>
    </w:p>
    <w:p>
      <w:pPr>
        <w:spacing w:after="0" w:line="154" w:lineRule="exact"/>
        <w:rPr>
          <w:rFonts w:ascii="Arial" w:cs="Arial" w:eastAsia="Arial" w:hAnsi="Arial"/>
          <w:sz w:val="21"/>
          <w:szCs w:val="21"/>
          <w:color w:val="auto"/>
        </w:rPr>
      </w:pPr>
    </w:p>
    <w:p>
      <w:pPr>
        <w:ind w:firstLine="1264"/>
        <w:spacing w:after="0" w:line="236" w:lineRule="auto"/>
        <w:tabs>
          <w:tab w:leader="none" w:pos="1884" w:val="left"/>
        </w:tabs>
        <w:numPr>
          <w:ilvl w:val="0"/>
          <w:numId w:val="62"/>
        </w:numPr>
        <w:rPr>
          <w:rFonts w:ascii="Arial" w:cs="Arial" w:eastAsia="Arial" w:hAnsi="Arial"/>
          <w:sz w:val="21"/>
          <w:szCs w:val="21"/>
          <w:color w:val="auto"/>
        </w:rPr>
      </w:pPr>
      <w:r>
        <w:rPr>
          <w:rFonts w:ascii="Arial" w:cs="Arial" w:eastAsia="Arial" w:hAnsi="Arial"/>
          <w:sz w:val="21"/>
          <w:szCs w:val="21"/>
          <w:color w:val="auto"/>
        </w:rPr>
        <w:t>Security guard services, and Tenant shall cooperate with Landlord in transitioning to Landlord all security services relating to the Common Areas within the North Complex.</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When fully implemented, Landlord shall have control and management (including maintenance and repair) responsibility for all of the foregoing described aspects and areas of the Project. Tenant shall, at its cost, remain obligated to perform all obligations in accordance with the Existing Lease (insofar as Tenant’s surrender and/or restoration obligations thereunder) with respect to such aspects and areas of the Project until the turnover to Landlord of each of such specific aspects and areas of the Project has been accomplished. The orderly transition to Landlord of the turnover of control and management responsibility will occur during the ensuing one hundred twenty (120) days following the Give-Back Date (which period may be referred to as the “Transition Period”). Landlord and Tenant shall work together cooperatively to accomplish an orderly transition within the Transition Period of each and every one of the various aspects and areas of the Project as identified above, and as such transitions are completed, Landlord and Tenant shall acknowledge the same in writing, memorializing the effective date of such turnover to Landlord.</w:t>
      </w:r>
    </w:p>
    <w:p>
      <w:pPr>
        <w:spacing w:after="0" w:line="150" w:lineRule="exact"/>
        <w:rPr>
          <w:sz w:val="20"/>
          <w:szCs w:val="20"/>
          <w:color w:val="auto"/>
        </w:rPr>
      </w:pPr>
    </w:p>
    <w:p>
      <w:pPr>
        <w:ind w:left="1260" w:hanging="626"/>
        <w:spacing w:after="0"/>
        <w:tabs>
          <w:tab w:leader="none" w:pos="1260"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Assignment and Subletting</w:t>
      </w:r>
      <w:r>
        <w:rPr>
          <w:rFonts w:ascii="Arial" w:cs="Arial" w:eastAsia="Arial" w:hAnsi="Arial"/>
          <w:sz w:val="21"/>
          <w:szCs w:val="21"/>
          <w:color w:val="auto"/>
        </w:rPr>
        <w:t>. The following shall be added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14.2</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Existing Lease.</w:t>
      </w:r>
    </w:p>
    <w:p>
      <w:pPr>
        <w:spacing w:after="0" w:line="184" w:lineRule="exact"/>
        <w:rPr>
          <w:sz w:val="20"/>
          <w:szCs w:val="20"/>
          <w:color w:val="auto"/>
        </w:rPr>
      </w:pPr>
    </w:p>
    <w:p>
      <w:pPr>
        <w:jc w:val="both"/>
        <w:ind w:left="640" w:right="640" w:firstLine="485"/>
        <w:spacing w:after="0" w:line="236" w:lineRule="auto"/>
        <w:rPr>
          <w:sz w:val="20"/>
          <w:szCs w:val="20"/>
          <w:color w:val="auto"/>
        </w:rPr>
      </w:pPr>
      <w:r>
        <w:rPr>
          <w:rFonts w:ascii="Arial" w:cs="Arial" w:eastAsia="Arial" w:hAnsi="Arial"/>
          <w:sz w:val="21"/>
          <w:szCs w:val="21"/>
          <w:color w:val="auto"/>
        </w:rPr>
        <w:t>14.2.6 The proposed Transfer would cause a violation of another lease for space in the Project, or would give an occupant of the Project a right to cancel its lease; or</w:t>
      </w:r>
    </w:p>
    <w:p>
      <w:pPr>
        <w:spacing w:after="0" w:line="155" w:lineRule="exact"/>
        <w:rPr>
          <w:sz w:val="20"/>
          <w:szCs w:val="20"/>
          <w:color w:val="auto"/>
        </w:rPr>
      </w:pPr>
    </w:p>
    <w:p>
      <w:pPr>
        <w:jc w:val="both"/>
        <w:ind w:left="640" w:right="620" w:firstLine="690"/>
        <w:spacing w:after="0" w:line="227" w:lineRule="auto"/>
        <w:rPr>
          <w:sz w:val="20"/>
          <w:szCs w:val="20"/>
          <w:color w:val="auto"/>
        </w:rPr>
      </w:pPr>
      <w:r>
        <w:rPr>
          <w:rFonts w:ascii="Arial" w:cs="Arial" w:eastAsia="Arial" w:hAnsi="Arial"/>
          <w:sz w:val="21"/>
          <w:szCs w:val="21"/>
          <w:color w:val="auto"/>
        </w:rPr>
        <w:t>14.2.7 Either the proposed Transferee, or any person or entity which directly or indirectly, controls, is controlled by, or is under common control with, the proposed Transferee, is then currently engaged in active negotiations with Landlord, or has negotiated with Landlord during the five (5)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9</w:t>
      </w:r>
    </w:p>
    <w:p>
      <w:pPr>
        <w:sectPr>
          <w:pgSz w:w="11900" w:h="16838" w:orient="portrait"/>
          <w:cols w:equalWidth="0" w:num="1">
            <w:col w:w="11240"/>
          </w:cols>
          <w:pgMar w:left="320" w:top="1364" w:right="339" w:bottom="1440" w:gutter="0" w:footer="0" w:header="0"/>
        </w:sectPr>
      </w:pPr>
    </w:p>
    <w:bookmarkStart w:id="125" w:name="page126"/>
    <w:bookmarkEnd w:id="125"/>
    <w:p>
      <w:pPr>
        <w:jc w:val="both"/>
        <w:ind w:left="640" w:right="620"/>
        <w:spacing w:after="0" w:line="227" w:lineRule="auto"/>
        <w:rPr>
          <w:sz w:val="20"/>
          <w:szCs w:val="20"/>
          <w:color w:val="auto"/>
        </w:rPr>
      </w:pPr>
      <w:r>
        <w:rPr>
          <w:rFonts w:ascii="Arial" w:cs="Arial" w:eastAsia="Arial" w:hAnsi="Arial"/>
          <w:sz w:val="21"/>
          <w:szCs w:val="21"/>
          <w:color w:val="auto"/>
        </w:rPr>
        <w:t>immediately preceding the Transfer Notice, for space within the Project (and, in such latter instance, Landlord has (or reasonably anticipates it will have) available space in the Project suitable to meet such proposed Transferee’s occupancy needs).</w:t>
      </w:r>
    </w:p>
    <w:p>
      <w:pPr>
        <w:spacing w:after="0" w:line="148" w:lineRule="exact"/>
        <w:rPr>
          <w:sz w:val="20"/>
          <w:szCs w:val="20"/>
          <w:color w:val="auto"/>
        </w:rPr>
      </w:pPr>
    </w:p>
    <w:p>
      <w:pPr>
        <w:ind w:left="1260" w:hanging="626"/>
        <w:spacing w:after="0"/>
        <w:tabs>
          <w:tab w:leader="none" w:pos="126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Base Rent</w:t>
      </w:r>
      <w:r>
        <w:rPr>
          <w:rFonts w:ascii="Arial" w:cs="Arial" w:eastAsia="Arial" w:hAnsi="Arial"/>
          <w:sz w:val="21"/>
          <w:szCs w:val="21"/>
          <w:color w:val="auto"/>
        </w:rPr>
        <w:t>.</w:t>
      </w:r>
    </w:p>
    <w:p>
      <w:pPr>
        <w:spacing w:after="0" w:line="184" w:lineRule="exact"/>
        <w:rPr>
          <w:rFonts w:ascii="Arial" w:cs="Arial" w:eastAsia="Arial" w:hAnsi="Arial"/>
          <w:sz w:val="21"/>
          <w:szCs w:val="21"/>
          <w:b w:val="1"/>
          <w:bCs w:val="1"/>
          <w:color w:val="auto"/>
        </w:rPr>
      </w:pPr>
    </w:p>
    <w:p>
      <w:pPr>
        <w:jc w:val="both"/>
        <w:ind w:firstLine="1264"/>
        <w:spacing w:after="0" w:line="227" w:lineRule="auto"/>
        <w:tabs>
          <w:tab w:leader="none" w:pos="1885" w:val="left"/>
        </w:tabs>
        <w:numPr>
          <w:ilvl w:val="1"/>
          <w:numId w:val="64"/>
        </w:numPr>
        <w:rPr>
          <w:rFonts w:ascii="Arial" w:cs="Arial" w:eastAsia="Arial" w:hAnsi="Arial"/>
          <w:sz w:val="21"/>
          <w:szCs w:val="21"/>
          <w:color w:val="auto"/>
        </w:rPr>
      </w:pPr>
      <w:r>
        <w:rPr>
          <w:rFonts w:ascii="Arial" w:cs="Arial" w:eastAsia="Arial" w:hAnsi="Arial"/>
          <w:sz w:val="21"/>
          <w:szCs w:val="21"/>
          <w:color w:val="auto"/>
        </w:rPr>
        <w:t>Prior to the Give-Back Date, Tenant shall continue to pay to Landlord all Rent payable under the Existing Lease with respect to the Premises (i.e., the Give-Back Space and the Remaining Premises) and all other costs and expenses payable under the Existing Lease in accordance with its terms.</w:t>
      </w:r>
    </w:p>
    <w:p>
      <w:pPr>
        <w:spacing w:after="0" w:line="154" w:lineRule="exact"/>
        <w:rPr>
          <w:rFonts w:ascii="Arial" w:cs="Arial" w:eastAsia="Arial" w:hAnsi="Arial"/>
          <w:sz w:val="21"/>
          <w:szCs w:val="21"/>
          <w:color w:val="auto"/>
        </w:rPr>
      </w:pPr>
    </w:p>
    <w:p>
      <w:pPr>
        <w:jc w:val="both"/>
        <w:ind w:firstLine="1264"/>
        <w:spacing w:after="0" w:line="227" w:lineRule="auto"/>
        <w:tabs>
          <w:tab w:leader="none" w:pos="1884" w:val="left"/>
        </w:tabs>
        <w:numPr>
          <w:ilvl w:val="1"/>
          <w:numId w:val="64"/>
        </w:numPr>
        <w:rPr>
          <w:rFonts w:ascii="Arial" w:cs="Arial" w:eastAsia="Arial" w:hAnsi="Arial"/>
          <w:sz w:val="21"/>
          <w:szCs w:val="21"/>
          <w:color w:val="auto"/>
        </w:rPr>
      </w:pPr>
      <w:r>
        <w:rPr>
          <w:rFonts w:ascii="Arial" w:cs="Arial" w:eastAsia="Arial" w:hAnsi="Arial"/>
          <w:sz w:val="21"/>
          <w:szCs w:val="21"/>
          <w:color w:val="auto"/>
        </w:rPr>
        <w:t>Effective as of the Give-Back Date and in addition to Additional Rent and all other costs and expenses payable by Tenant pursuant to the Lease, Tenant shall pay the following monthly Base Rent for the Remaining Premises, in accordance with the terms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10</w:t>
      </w:r>
    </w:p>
    <w:p>
      <w:pPr>
        <w:sectPr>
          <w:pgSz w:w="11900" w:h="16838" w:orient="portrait"/>
          <w:cols w:equalWidth="0" w:num="1">
            <w:col w:w="11240"/>
          </w:cols>
          <w:pgMar w:left="320" w:top="1364" w:right="339"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10"/>
        </w:trPr>
        <w:tc>
          <w:tcPr>
            <w:tcW w:w="372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2420" w:type="dxa"/>
            <w:vAlign w:val="bottom"/>
            <w:tcBorders>
              <w:top w:val="single" w:sz="8" w:color="auto"/>
              <w:right w:val="single" w:sz="8" w:color="auto"/>
            </w:tcBorders>
            <w:shd w:val="clear" w:color="auto" w:fill="D9D9D9"/>
          </w:tcPr>
          <w:p>
            <w:pPr>
              <w:spacing w:after="0"/>
              <w:rPr>
                <w:sz w:val="18"/>
                <w:szCs w:val="18"/>
                <w:color w:val="auto"/>
              </w:rPr>
            </w:pPr>
          </w:p>
        </w:tc>
        <w:tc>
          <w:tcPr>
            <w:tcW w:w="2440" w:type="dxa"/>
            <w:vAlign w:val="bottom"/>
            <w:tcBorders>
              <w:top w:val="single" w:sz="8" w:color="auto"/>
              <w:right w:val="single" w:sz="8" w:color="auto"/>
            </w:tcBorders>
            <w:shd w:val="clear" w:color="auto" w:fill="D9D9D9"/>
          </w:tcPr>
          <w:p>
            <w:pPr>
              <w:spacing w:after="0"/>
              <w:rPr>
                <w:sz w:val="18"/>
                <w:szCs w:val="18"/>
                <w:color w:val="auto"/>
              </w:rPr>
            </w:pPr>
          </w:p>
        </w:tc>
        <w:tc>
          <w:tcPr>
            <w:tcW w:w="2680" w:type="dxa"/>
            <w:vAlign w:val="bottom"/>
            <w:tcBorders>
              <w:top w:val="single" w:sz="8" w:color="auto"/>
              <w:right w:val="single" w:sz="8" w:color="auto"/>
            </w:tcBorders>
            <w:shd w:val="clear" w:color="auto" w:fill="D9D9D9"/>
          </w:tcPr>
          <w:p>
            <w:pPr>
              <w:jc w:val="center"/>
              <w:spacing w:after="0" w:line="210" w:lineRule="exact"/>
              <w:rPr>
                <w:sz w:val="20"/>
                <w:szCs w:val="20"/>
                <w:color w:val="auto"/>
              </w:rPr>
            </w:pPr>
            <w:r>
              <w:rPr>
                <w:rFonts w:ascii="Arial" w:cs="Arial" w:eastAsia="Arial" w:hAnsi="Arial"/>
                <w:sz w:val="21"/>
                <w:szCs w:val="21"/>
                <w:b w:val="1"/>
                <w:bCs w:val="1"/>
                <w:color w:val="auto"/>
              </w:rPr>
              <w:t>MONTHLY BASE RENT</w:t>
            </w: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1"/>
                <w:szCs w:val="21"/>
                <w:b w:val="1"/>
                <w:bCs w:val="1"/>
                <w:color w:val="auto"/>
                <w:w w:val="99"/>
              </w:rPr>
              <w:t>PERIOD</w:t>
            </w:r>
          </w:p>
        </w:tc>
        <w:tc>
          <w:tcPr>
            <w:tcW w:w="2420" w:type="dxa"/>
            <w:vAlign w:val="bottom"/>
            <w:tcBorders>
              <w:right w:val="single" w:sz="8" w:color="auto"/>
            </w:tcBorders>
            <w:vMerge w:val="restart"/>
            <w:shd w:val="clear" w:color="auto" w:fill="D9D9D9"/>
          </w:tcPr>
          <w:p>
            <w:pPr>
              <w:ind w:left="140"/>
              <w:spacing w:after="0"/>
              <w:rPr>
                <w:sz w:val="20"/>
                <w:szCs w:val="20"/>
                <w:color w:val="auto"/>
              </w:rPr>
            </w:pPr>
            <w:r>
              <w:rPr>
                <w:rFonts w:ascii="Arial" w:cs="Arial" w:eastAsia="Arial" w:hAnsi="Arial"/>
                <w:sz w:val="21"/>
                <w:szCs w:val="21"/>
                <w:b w:val="1"/>
                <w:bCs w:val="1"/>
                <w:color w:val="auto"/>
              </w:rPr>
              <w:t>ANNUAL BASE RENT</w:t>
            </w:r>
          </w:p>
        </w:tc>
        <w:tc>
          <w:tcPr>
            <w:tcW w:w="2440" w:type="dxa"/>
            <w:vAlign w:val="bottom"/>
            <w:tcBorders>
              <w:right w:val="single" w:sz="8" w:color="auto"/>
            </w:tcBorders>
            <w:vMerge w:val="restart"/>
            <w:shd w:val="clear" w:color="auto" w:fill="D9D9D9"/>
          </w:tcPr>
          <w:p>
            <w:pPr>
              <w:ind w:left="40"/>
              <w:spacing w:after="0"/>
              <w:rPr>
                <w:sz w:val="20"/>
                <w:szCs w:val="20"/>
                <w:color w:val="auto"/>
              </w:rPr>
            </w:pPr>
            <w:r>
              <w:rPr>
                <w:rFonts w:ascii="Arial" w:cs="Arial" w:eastAsia="Arial" w:hAnsi="Arial"/>
                <w:sz w:val="21"/>
                <w:szCs w:val="21"/>
                <w:b w:val="1"/>
                <w:bCs w:val="1"/>
                <w:color w:val="auto"/>
              </w:rPr>
              <w:t>MONTHLY BASE RENT</w:t>
            </w:r>
          </w:p>
        </w:tc>
        <w:tc>
          <w:tcPr>
            <w:tcW w:w="2680" w:type="dxa"/>
            <w:vAlign w:val="bottom"/>
            <w:tcBorders>
              <w:right w:val="single" w:sz="8" w:color="auto"/>
            </w:tcBorders>
            <w:shd w:val="clear" w:color="auto" w:fill="D9D9D9"/>
          </w:tcPr>
          <w:p>
            <w:pPr>
              <w:ind w:left="60"/>
              <w:spacing w:after="0" w:line="210" w:lineRule="exact"/>
              <w:rPr>
                <w:sz w:val="20"/>
                <w:szCs w:val="20"/>
                <w:color w:val="auto"/>
              </w:rPr>
            </w:pPr>
            <w:r>
              <w:rPr>
                <w:rFonts w:ascii="Arial" w:cs="Arial" w:eastAsia="Arial" w:hAnsi="Arial"/>
                <w:sz w:val="21"/>
                <w:szCs w:val="21"/>
                <w:b w:val="1"/>
                <w:bCs w:val="1"/>
                <w:color w:val="auto"/>
                <w:w w:val="99"/>
              </w:rPr>
              <w:t>PER RENTABLE SQUARE</w:t>
            </w:r>
          </w:p>
        </w:tc>
        <w:tc>
          <w:tcPr>
            <w:tcW w:w="0" w:type="dxa"/>
            <w:vAlign w:val="bottom"/>
          </w:tcPr>
          <w:p>
            <w:pPr>
              <w:spacing w:after="0"/>
              <w:rPr>
                <w:sz w:val="1"/>
                <w:szCs w:val="1"/>
                <w:color w:val="auto"/>
              </w:rPr>
            </w:pPr>
          </w:p>
        </w:tc>
      </w:tr>
      <w:tr>
        <w:trPr>
          <w:trHeight w:val="274"/>
        </w:trPr>
        <w:tc>
          <w:tcPr>
            <w:tcW w:w="3720" w:type="dxa"/>
            <w:vAlign w:val="bottom"/>
            <w:tcBorders>
              <w:left w:val="single" w:sz="8" w:color="auto"/>
              <w:bottom w:val="single" w:sz="8" w:color="auto"/>
              <w:right w:val="single" w:sz="8" w:color="auto"/>
            </w:tcBorders>
            <w:vMerge w:val="continue"/>
            <w:shd w:val="clear" w:color="auto" w:fill="D9D9D9"/>
          </w:tcPr>
          <w:p>
            <w:pPr>
              <w:spacing w:after="0"/>
              <w:rPr>
                <w:sz w:val="23"/>
                <w:szCs w:val="23"/>
                <w:color w:val="auto"/>
              </w:rPr>
            </w:pPr>
          </w:p>
        </w:tc>
        <w:tc>
          <w:tcPr>
            <w:tcW w:w="2420" w:type="dxa"/>
            <w:vAlign w:val="bottom"/>
            <w:tcBorders>
              <w:bottom w:val="single" w:sz="8" w:color="auto"/>
              <w:right w:val="single" w:sz="8" w:color="auto"/>
            </w:tcBorders>
            <w:vMerge w:val="continue"/>
            <w:shd w:val="clear" w:color="auto" w:fill="D9D9D9"/>
          </w:tcPr>
          <w:p>
            <w:pPr>
              <w:spacing w:after="0"/>
              <w:rPr>
                <w:sz w:val="23"/>
                <w:szCs w:val="23"/>
                <w:color w:val="auto"/>
              </w:rPr>
            </w:pPr>
          </w:p>
        </w:tc>
        <w:tc>
          <w:tcPr>
            <w:tcW w:w="2440" w:type="dxa"/>
            <w:vAlign w:val="bottom"/>
            <w:tcBorders>
              <w:bottom w:val="single" w:sz="8" w:color="auto"/>
              <w:right w:val="single" w:sz="8" w:color="auto"/>
            </w:tcBorders>
            <w:vMerge w:val="continue"/>
            <w:shd w:val="clear" w:color="auto" w:fill="D9D9D9"/>
          </w:tcPr>
          <w:p>
            <w:pPr>
              <w:spacing w:after="0"/>
              <w:rPr>
                <w:sz w:val="23"/>
                <w:szCs w:val="23"/>
                <w:color w:val="auto"/>
              </w:rPr>
            </w:pPr>
          </w:p>
        </w:tc>
        <w:tc>
          <w:tcPr>
            <w:tcW w:w="2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rPr>
              <w:t>FOOT</w:t>
            </w:r>
          </w:p>
        </w:tc>
        <w:tc>
          <w:tcPr>
            <w:tcW w:w="0" w:type="dxa"/>
            <w:vAlign w:val="bottom"/>
          </w:tcPr>
          <w:p>
            <w:pPr>
              <w:spacing w:after="0"/>
              <w:rPr>
                <w:sz w:val="1"/>
                <w:szCs w:val="1"/>
                <w:color w:val="auto"/>
              </w:rPr>
            </w:pPr>
          </w:p>
        </w:tc>
      </w:tr>
      <w:tr>
        <w:trPr>
          <w:trHeight w:val="283"/>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Give-Back Date to 11/30/21</w:t>
            </w:r>
          </w:p>
        </w:tc>
        <w:tc>
          <w:tcPr>
            <w:tcW w:w="2420" w:type="dxa"/>
            <w:vAlign w:val="bottom"/>
            <w:tcBorders>
              <w:bottom w:val="single" w:sz="8" w:color="auto"/>
              <w:right w:val="single" w:sz="8" w:color="auto"/>
            </w:tcBorders>
          </w:tcPr>
          <w:p>
            <w:pPr>
              <w:jc w:val="center"/>
              <w:spacing w:after="0" w:line="283" w:lineRule="exact"/>
              <w:rPr>
                <w:sz w:val="20"/>
                <w:szCs w:val="20"/>
                <w:color w:val="auto"/>
              </w:rPr>
            </w:pPr>
            <w:r>
              <w:rPr>
                <w:rFonts w:ascii="Arial" w:cs="Arial" w:eastAsia="Arial" w:hAnsi="Arial"/>
                <w:sz w:val="21"/>
                <w:szCs w:val="21"/>
                <w:color w:val="auto"/>
                <w:w w:val="88"/>
              </w:rPr>
              <w:t>$39,740,751.72</w:t>
            </w:r>
            <w:r>
              <w:rPr>
                <w:rFonts w:ascii="Arial" w:cs="Arial" w:eastAsia="Arial" w:hAnsi="Arial"/>
                <w:sz w:val="27"/>
                <w:szCs w:val="27"/>
                <w:color w:val="auto"/>
                <w:w w:val="88"/>
                <w:vertAlign w:val="superscript"/>
              </w:rPr>
              <w:t>1</w:t>
            </w:r>
          </w:p>
        </w:tc>
        <w:tc>
          <w:tcPr>
            <w:tcW w:w="2440" w:type="dxa"/>
            <w:vAlign w:val="bottom"/>
            <w:tcBorders>
              <w:bottom w:val="single" w:sz="8" w:color="auto"/>
              <w:right w:val="single" w:sz="8" w:color="auto"/>
            </w:tcBorders>
          </w:tcPr>
          <w:p>
            <w:pPr>
              <w:jc w:val="center"/>
              <w:spacing w:after="0" w:line="283" w:lineRule="exact"/>
              <w:rPr>
                <w:sz w:val="20"/>
                <w:szCs w:val="20"/>
                <w:color w:val="auto"/>
              </w:rPr>
            </w:pPr>
            <w:r>
              <w:rPr>
                <w:rFonts w:ascii="Arial" w:cs="Arial" w:eastAsia="Arial" w:hAnsi="Arial"/>
                <w:sz w:val="21"/>
                <w:szCs w:val="21"/>
                <w:color w:val="auto"/>
                <w:w w:val="87"/>
              </w:rPr>
              <w:t>$3,311,729.31</w:t>
            </w:r>
            <w:r>
              <w:rPr>
                <w:rFonts w:ascii="Arial" w:cs="Arial" w:eastAsia="Arial" w:hAnsi="Arial"/>
                <w:sz w:val="27"/>
                <w:szCs w:val="27"/>
                <w:color w:val="auto"/>
                <w:w w:val="87"/>
                <w:vertAlign w:val="superscript"/>
              </w:rPr>
              <w:t>2</w:t>
            </w: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$65.78</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line="255" w:lineRule="exact"/>
              <w:rPr>
                <w:sz w:val="20"/>
                <w:szCs w:val="20"/>
                <w:color w:val="auto"/>
              </w:rPr>
            </w:pPr>
            <w:r>
              <w:rPr>
                <w:rFonts w:ascii="Arial" w:cs="Arial" w:eastAsia="Arial" w:hAnsi="Arial"/>
                <w:sz w:val="21"/>
                <w:szCs w:val="21"/>
                <w:color w:val="auto"/>
                <w:w w:val="91"/>
              </w:rPr>
              <w:t>12/01/21 to 11/30/22 (LY 4)</w:t>
            </w:r>
            <w:r>
              <w:rPr>
                <w:rFonts w:ascii="Arial" w:cs="Arial" w:eastAsia="Arial" w:hAnsi="Arial"/>
                <w:sz w:val="27"/>
                <w:szCs w:val="27"/>
                <w:color w:val="auto"/>
                <w:w w:val="91"/>
                <w:vertAlign w:val="superscript"/>
              </w:rPr>
              <w:t>3</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$40,932,974.27</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$3,411,081.19</w:t>
            </w: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$67.75</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12/01/22 to 11/30/23 (LY 5)</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$42,160,963.50</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$3,513,413.63</w:t>
            </w: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$69.78</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12/01/23 to 11/30/24 (LY 6)</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$43,425,792.40</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$3,618,816.03</w:t>
            </w: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$71.88</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12/01/24 to 11/30/25 (LY 7)</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$44,728,566.18</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$3,727,380.52</w:t>
            </w: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$74.03</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12/01/25 to 11/30/26 (LY8)</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$46,070,423.16</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$3,839,201.93</w:t>
            </w:r>
          </w:p>
        </w:tc>
        <w:tc>
          <w:tcPr>
            <w:tcW w:w="2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$76.25</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12/01/26 to 11/30/27 (LY 9)</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$47,452,535.86</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$3,954,377.99</w:t>
            </w:r>
          </w:p>
        </w:tc>
        <w:tc>
          <w:tcPr>
            <w:tcW w:w="2680" w:type="dxa"/>
            <w:vAlign w:val="bottom"/>
            <w:tcBorders>
              <w:bottom w:val="single" w:sz="8" w:color="auto"/>
              <w:right w:val="single" w:sz="8" w:color="auto"/>
            </w:tcBorders>
          </w:tcPr>
          <w:p>
            <w:pPr>
              <w:jc w:val="right"/>
              <w:ind w:right="1995"/>
              <w:spacing w:after="0"/>
              <w:rPr>
                <w:sz w:val="20"/>
                <w:szCs w:val="20"/>
                <w:color w:val="auto"/>
              </w:rPr>
            </w:pPr>
            <w:r>
              <w:rPr>
                <w:rFonts w:ascii="Arial" w:cs="Arial" w:eastAsia="Arial" w:hAnsi="Arial"/>
                <w:sz w:val="21"/>
                <w:szCs w:val="21"/>
                <w:color w:val="auto"/>
                <w:w w:val="87"/>
              </w:rPr>
              <w:t>$78.54</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12/01/27 to 11/30/28 (LY 10)</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$48,876,111.93</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$4,073,009.33</w:t>
            </w:r>
          </w:p>
        </w:tc>
        <w:tc>
          <w:tcPr>
            <w:tcW w:w="2680" w:type="dxa"/>
            <w:vAlign w:val="bottom"/>
            <w:tcBorders>
              <w:bottom w:val="single" w:sz="8" w:color="auto"/>
              <w:right w:val="single" w:sz="8" w:color="auto"/>
            </w:tcBorders>
          </w:tcPr>
          <w:p>
            <w:pPr>
              <w:jc w:val="right"/>
              <w:ind w:right="1995"/>
              <w:spacing w:after="0"/>
              <w:rPr>
                <w:sz w:val="20"/>
                <w:szCs w:val="20"/>
                <w:color w:val="auto"/>
              </w:rPr>
            </w:pPr>
            <w:r>
              <w:rPr>
                <w:rFonts w:ascii="Arial" w:cs="Arial" w:eastAsia="Arial" w:hAnsi="Arial"/>
                <w:sz w:val="21"/>
                <w:szCs w:val="21"/>
                <w:color w:val="auto"/>
                <w:w w:val="87"/>
              </w:rPr>
              <w:t>$80.90</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12/01/28 to 11/30/29 (LY 11)</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$50,342,395.29</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$4,195,199.61</w:t>
            </w:r>
          </w:p>
        </w:tc>
        <w:tc>
          <w:tcPr>
            <w:tcW w:w="2680" w:type="dxa"/>
            <w:vAlign w:val="bottom"/>
            <w:tcBorders>
              <w:bottom w:val="single" w:sz="8" w:color="auto"/>
              <w:right w:val="single" w:sz="8" w:color="auto"/>
            </w:tcBorders>
          </w:tcPr>
          <w:p>
            <w:pPr>
              <w:jc w:val="right"/>
              <w:ind w:right="1995"/>
              <w:spacing w:after="0"/>
              <w:rPr>
                <w:sz w:val="20"/>
                <w:szCs w:val="20"/>
                <w:color w:val="auto"/>
              </w:rPr>
            </w:pPr>
            <w:r>
              <w:rPr>
                <w:rFonts w:ascii="Arial" w:cs="Arial" w:eastAsia="Arial" w:hAnsi="Arial"/>
                <w:sz w:val="21"/>
                <w:szCs w:val="21"/>
                <w:color w:val="auto"/>
                <w:w w:val="87"/>
              </w:rPr>
              <w:t>$83.32</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12/01/29 to 11/30/30 (LY 12)</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$51,852,667.15</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$4,321,055.60</w:t>
            </w:r>
          </w:p>
        </w:tc>
        <w:tc>
          <w:tcPr>
            <w:tcW w:w="2680" w:type="dxa"/>
            <w:vAlign w:val="bottom"/>
            <w:tcBorders>
              <w:bottom w:val="single" w:sz="8" w:color="auto"/>
              <w:right w:val="single" w:sz="8" w:color="auto"/>
            </w:tcBorders>
          </w:tcPr>
          <w:p>
            <w:pPr>
              <w:jc w:val="right"/>
              <w:ind w:right="1995"/>
              <w:spacing w:after="0"/>
              <w:rPr>
                <w:sz w:val="20"/>
                <w:szCs w:val="20"/>
                <w:color w:val="auto"/>
              </w:rPr>
            </w:pPr>
            <w:r>
              <w:rPr>
                <w:rFonts w:ascii="Arial" w:cs="Arial" w:eastAsia="Arial" w:hAnsi="Arial"/>
                <w:sz w:val="21"/>
                <w:szCs w:val="21"/>
                <w:color w:val="auto"/>
                <w:w w:val="87"/>
              </w:rPr>
              <w:t>$85.82</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12/01/30 to 11/30/31 (LY 13)</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$53,408,247.16</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$4,450,687.26</w:t>
            </w:r>
          </w:p>
        </w:tc>
        <w:tc>
          <w:tcPr>
            <w:tcW w:w="2680" w:type="dxa"/>
            <w:vAlign w:val="bottom"/>
            <w:tcBorders>
              <w:bottom w:val="single" w:sz="8" w:color="auto"/>
              <w:right w:val="single" w:sz="8" w:color="auto"/>
            </w:tcBorders>
          </w:tcPr>
          <w:p>
            <w:pPr>
              <w:jc w:val="right"/>
              <w:ind w:right="1995"/>
              <w:spacing w:after="0"/>
              <w:rPr>
                <w:sz w:val="20"/>
                <w:szCs w:val="20"/>
                <w:color w:val="auto"/>
              </w:rPr>
            </w:pPr>
            <w:r>
              <w:rPr>
                <w:rFonts w:ascii="Arial" w:cs="Arial" w:eastAsia="Arial" w:hAnsi="Arial"/>
                <w:sz w:val="21"/>
                <w:szCs w:val="21"/>
                <w:color w:val="auto"/>
                <w:w w:val="87"/>
              </w:rPr>
              <w:t>$88.40</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12/01/31 to 11/30/32 (LY14)</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$55,010,494.58</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$4,584,207.88</w:t>
            </w:r>
          </w:p>
        </w:tc>
        <w:tc>
          <w:tcPr>
            <w:tcW w:w="2680" w:type="dxa"/>
            <w:vAlign w:val="bottom"/>
            <w:tcBorders>
              <w:bottom w:val="single" w:sz="8" w:color="auto"/>
              <w:right w:val="single" w:sz="8" w:color="auto"/>
            </w:tcBorders>
          </w:tcPr>
          <w:p>
            <w:pPr>
              <w:jc w:val="right"/>
              <w:ind w:right="1995"/>
              <w:spacing w:after="0"/>
              <w:rPr>
                <w:sz w:val="20"/>
                <w:szCs w:val="20"/>
                <w:color w:val="auto"/>
              </w:rPr>
            </w:pPr>
            <w:r>
              <w:rPr>
                <w:rFonts w:ascii="Arial" w:cs="Arial" w:eastAsia="Arial" w:hAnsi="Arial"/>
                <w:sz w:val="21"/>
                <w:szCs w:val="21"/>
                <w:color w:val="auto"/>
                <w:w w:val="87"/>
              </w:rPr>
              <w:t>$91.05</w:t>
            </w: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12/01/32 to 11/30/33 (LY 15)</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$56,660,809.420</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$4,721,734.12</w:t>
            </w:r>
          </w:p>
        </w:tc>
        <w:tc>
          <w:tcPr>
            <w:tcW w:w="2680" w:type="dxa"/>
            <w:vAlign w:val="bottom"/>
            <w:tcBorders>
              <w:bottom w:val="single" w:sz="8" w:color="auto"/>
              <w:right w:val="single" w:sz="8" w:color="auto"/>
            </w:tcBorders>
          </w:tcPr>
          <w:p>
            <w:pPr>
              <w:jc w:val="right"/>
              <w:ind w:right="1995"/>
              <w:spacing w:after="0"/>
              <w:rPr>
                <w:sz w:val="20"/>
                <w:szCs w:val="20"/>
                <w:color w:val="auto"/>
              </w:rPr>
            </w:pPr>
            <w:r>
              <w:rPr>
                <w:rFonts w:ascii="Arial" w:cs="Arial" w:eastAsia="Arial" w:hAnsi="Arial"/>
                <w:sz w:val="21"/>
                <w:szCs w:val="21"/>
                <w:color w:val="auto"/>
                <w:w w:val="87"/>
              </w:rPr>
              <w:t>$93.78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1260" w:hanging="626"/>
        <w:spacing w:after="0"/>
        <w:tabs>
          <w:tab w:leader="none" w:pos="1260" w:val="left"/>
        </w:tabs>
        <w:numPr>
          <w:ilvl w:val="1"/>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w:t>
      </w:r>
      <w:r>
        <w:rPr>
          <w:rFonts w:ascii="Arial" w:cs="Arial" w:eastAsia="Arial" w:hAnsi="Arial"/>
          <w:sz w:val="17"/>
          <w:szCs w:val="17"/>
          <w:b w:val="1"/>
          <w:bCs w:val="1"/>
          <w:u w:val="single" w:color="auto"/>
          <w:color w:val="auto"/>
        </w:rPr>
        <w:t>DDITIONAL</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R</w:t>
      </w:r>
      <w:r>
        <w:rPr>
          <w:rFonts w:ascii="Arial" w:cs="Arial" w:eastAsia="Arial" w:hAnsi="Arial"/>
          <w:sz w:val="17"/>
          <w:szCs w:val="17"/>
          <w:b w:val="1"/>
          <w:bCs w:val="1"/>
          <w:u w:val="single" w:color="auto"/>
          <w:color w:val="auto"/>
        </w:rPr>
        <w:t>ENT</w:t>
      </w:r>
      <w:r>
        <w:rPr>
          <w:rFonts w:ascii="Arial" w:cs="Arial" w:eastAsia="Arial" w:hAnsi="Arial"/>
          <w:sz w:val="21"/>
          <w:szCs w:val="21"/>
          <w:color w:val="auto"/>
        </w:rPr>
        <w:t>.</w:t>
      </w:r>
    </w:p>
    <w:p>
      <w:pPr>
        <w:spacing w:after="0" w:line="184" w:lineRule="exact"/>
        <w:rPr>
          <w:rFonts w:ascii="Arial" w:cs="Arial" w:eastAsia="Arial" w:hAnsi="Arial"/>
          <w:sz w:val="21"/>
          <w:szCs w:val="21"/>
          <w:b w:val="1"/>
          <w:bCs w:val="1"/>
          <w:color w:val="auto"/>
        </w:rPr>
      </w:pPr>
    </w:p>
    <w:p>
      <w:pPr>
        <w:jc w:val="both"/>
        <w:ind w:right="20" w:firstLine="1264"/>
        <w:spacing w:after="0" w:line="227" w:lineRule="auto"/>
        <w:tabs>
          <w:tab w:leader="none" w:pos="1885" w:val="left"/>
        </w:tabs>
        <w:numPr>
          <w:ilvl w:val="2"/>
          <w:numId w:val="65"/>
        </w:numPr>
        <w:rPr>
          <w:rFonts w:ascii="Arial" w:cs="Arial" w:eastAsia="Arial" w:hAnsi="Arial"/>
          <w:sz w:val="21"/>
          <w:szCs w:val="21"/>
          <w:color w:val="auto"/>
        </w:rPr>
      </w:pPr>
      <w:r>
        <w:rPr>
          <w:rFonts w:ascii="Arial" w:cs="Arial" w:eastAsia="Arial" w:hAnsi="Arial"/>
          <w:sz w:val="21"/>
          <w:szCs w:val="21"/>
          <w:color w:val="auto"/>
        </w:rPr>
        <w:t>Prior to the Give-Back Date, and in addition to the monthly Base Rent set forth in the Existing Lease, Tenant shall continue to pay Tenant’s Share of Direct Expenses, and all other additional rent payable under the terms of the Existing Lease, pursuant to the terms and conditions of the Lease.</w:t>
      </w:r>
    </w:p>
    <w:p>
      <w:pPr>
        <w:spacing w:after="0" w:line="263" w:lineRule="exact"/>
        <w:rPr>
          <w:rFonts w:ascii="Arial" w:cs="Arial" w:eastAsia="Arial" w:hAnsi="Arial"/>
          <w:sz w:val="21"/>
          <w:szCs w:val="21"/>
          <w:color w:val="auto"/>
        </w:rPr>
      </w:pPr>
    </w:p>
    <w:p>
      <w:pPr>
        <w:ind w:left="840" w:right="540" w:hanging="755"/>
        <w:spacing w:after="0" w:line="211" w:lineRule="auto"/>
        <w:rPr>
          <w:rFonts w:ascii="Arial" w:cs="Arial" w:eastAsia="Arial" w:hAnsi="Arial"/>
          <w:sz w:val="21"/>
          <w:szCs w:val="21"/>
          <w:color w:val="auto"/>
        </w:rPr>
      </w:pPr>
      <w:r>
        <w:rPr>
          <w:rFonts w:ascii="Arial" w:cs="Arial" w:eastAsia="Arial" w:hAnsi="Arial"/>
          <w:sz w:val="22"/>
          <w:szCs w:val="22"/>
          <w:color w:val="auto"/>
          <w:vertAlign w:val="superscript"/>
        </w:rPr>
        <w:t>1</w:t>
      </w:r>
      <w:r>
        <w:rPr>
          <w:rFonts w:ascii="Arial" w:cs="Arial" w:eastAsia="Arial" w:hAnsi="Arial"/>
          <w:sz w:val="19"/>
          <w:szCs w:val="19"/>
          <w:color w:val="auto"/>
        </w:rPr>
        <w:t xml:space="preserve"> Annual Base Rent amount if based on 12 months, but if Give-Back Date is November 1, 2021, then Tenant shall only be obligated to pay Monthly Base Rent for one month before Base Rent adjustment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16656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11" w:lineRule="exact"/>
        <w:rPr>
          <w:sz w:val="20"/>
          <w:szCs w:val="20"/>
          <w:color w:val="auto"/>
        </w:rPr>
      </w:pPr>
    </w:p>
    <w:p>
      <w:pPr>
        <w:ind w:left="840" w:right="20" w:hanging="760"/>
        <w:spacing w:after="0" w:line="206" w:lineRule="auto"/>
        <w:tabs>
          <w:tab w:leader="none" w:pos="190" w:val="left"/>
        </w:tabs>
        <w:numPr>
          <w:ilvl w:val="0"/>
          <w:numId w:val="66"/>
        </w:numPr>
        <w:rPr>
          <w:rFonts w:ascii="Arial" w:cs="Arial" w:eastAsia="Arial" w:hAnsi="Arial"/>
          <w:sz w:val="23"/>
          <w:szCs w:val="23"/>
          <w:color w:val="auto"/>
          <w:vertAlign w:val="superscript"/>
        </w:rPr>
      </w:pPr>
      <w:r>
        <w:rPr>
          <w:rFonts w:ascii="Arial" w:cs="Arial" w:eastAsia="Arial" w:hAnsi="Arial"/>
          <w:sz w:val="19"/>
          <w:szCs w:val="19"/>
          <w:color w:val="auto"/>
        </w:rPr>
        <w:t xml:space="preserve">This schedule does not include Tenant’s payment of Monthly Base Rent for seven (7) months as to the Give-Back Space, which sum shall serve as a credit against the Termination Fee as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of this Eighth Amendment.</w:t>
      </w:r>
    </w:p>
    <w:p>
      <w:pPr>
        <w:spacing w:after="0" w:line="12" w:lineRule="exact"/>
        <w:rPr>
          <w:sz w:val="20"/>
          <w:szCs w:val="20"/>
          <w:color w:val="auto"/>
        </w:rPr>
      </w:pPr>
    </w:p>
    <w:p>
      <w:pPr>
        <w:ind w:left="180" w:hanging="100"/>
        <w:spacing w:after="0"/>
        <w:tabs>
          <w:tab w:leader="none" w:pos="180" w:val="left"/>
        </w:tabs>
        <w:numPr>
          <w:ilvl w:val="0"/>
          <w:numId w:val="67"/>
        </w:numPr>
        <w:rPr>
          <w:rFonts w:ascii="Arial" w:cs="Arial" w:eastAsia="Arial" w:hAnsi="Arial"/>
          <w:sz w:val="23"/>
          <w:szCs w:val="23"/>
          <w:color w:val="auto"/>
          <w:vertAlign w:val="superscript"/>
        </w:rPr>
      </w:pPr>
      <w:r>
        <w:rPr>
          <w:rFonts w:ascii="Arial" w:cs="Arial" w:eastAsia="Arial" w:hAnsi="Arial"/>
          <w:sz w:val="19"/>
          <w:szCs w:val="19"/>
          <w:color w:val="auto"/>
        </w:rPr>
        <w:t>LY =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11</w:t>
      </w:r>
    </w:p>
    <w:p>
      <w:pPr>
        <w:sectPr>
          <w:pgSz w:w="11900" w:h="16838" w:orient="portrait"/>
          <w:cols w:equalWidth="0" w:num="1">
            <w:col w:w="11260"/>
          </w:cols>
          <w:pgMar w:left="320" w:top="1405" w:right="319" w:bottom="1440" w:gutter="0" w:footer="0" w:header="0"/>
        </w:sectPr>
      </w:pPr>
    </w:p>
    <w:bookmarkStart w:id="127" w:name="page128"/>
    <w:bookmarkEnd w:id="127"/>
    <w:p>
      <w:pPr>
        <w:jc w:val="both"/>
        <w:ind w:firstLine="1264"/>
        <w:spacing w:after="0" w:line="219" w:lineRule="auto"/>
        <w:tabs>
          <w:tab w:leader="none" w:pos="1884" w:val="left"/>
        </w:tabs>
        <w:numPr>
          <w:ilvl w:val="1"/>
          <w:numId w:val="68"/>
        </w:numPr>
        <w:rPr>
          <w:rFonts w:ascii="Arial" w:cs="Arial" w:eastAsia="Arial" w:hAnsi="Arial"/>
          <w:sz w:val="21"/>
          <w:szCs w:val="21"/>
          <w:color w:val="auto"/>
        </w:rPr>
      </w:pPr>
      <w:r>
        <w:rPr>
          <w:rFonts w:ascii="Arial" w:cs="Arial" w:eastAsia="Arial" w:hAnsi="Arial"/>
          <w:sz w:val="21"/>
          <w:szCs w:val="21"/>
          <w:color w:val="auto"/>
        </w:rPr>
        <w:t xml:space="preserve">Effective as of the Give-Back Date and in addition to the monthly Base Rent set forth in </w:t>
      </w:r>
      <w:r>
        <w:rPr>
          <w:rFonts w:ascii="Arial" w:cs="Arial" w:eastAsia="Arial" w:hAnsi="Arial"/>
          <w:sz w:val="21"/>
          <w:szCs w:val="21"/>
          <w:u w:val="single" w:color="auto"/>
          <w:color w:val="auto"/>
        </w:rPr>
        <w:t>Section 5(b)</w:t>
      </w:r>
      <w:r>
        <w:rPr>
          <w:rFonts w:ascii="Arial" w:cs="Arial" w:eastAsia="Arial" w:hAnsi="Arial"/>
          <w:sz w:val="21"/>
          <w:szCs w:val="21"/>
          <w:color w:val="auto"/>
        </w:rPr>
        <w:t xml:space="preserve"> of this Eighth Amendment, Tenant shall pay Tenant’s Share of Direct Expenses with respect to the Remaining Premises, and all other additional rent payable under the terms of the Lease, pursuant to the terms and conditions of the Lease. Effective as of the Give-Back Date, Tenant’s Share of Direct Expenses shall be 51.15 % of the North Tower and 100% of the North Building, South Building and South Tower.</w:t>
      </w:r>
    </w:p>
    <w:p>
      <w:pPr>
        <w:spacing w:after="0" w:line="151" w:lineRule="exact"/>
        <w:rPr>
          <w:rFonts w:ascii="Arial" w:cs="Arial" w:eastAsia="Arial" w:hAnsi="Arial"/>
          <w:sz w:val="21"/>
          <w:szCs w:val="21"/>
          <w:color w:val="auto"/>
        </w:rPr>
      </w:pPr>
    </w:p>
    <w:p>
      <w:pPr>
        <w:ind w:left="1260" w:hanging="626"/>
        <w:spacing w:after="0"/>
        <w:tabs>
          <w:tab w:leader="none" w:pos="1260"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Roof Deck</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22</w:t>
      </w:r>
      <w:r>
        <w:rPr>
          <w:rFonts w:ascii="Arial" w:cs="Arial" w:eastAsia="Arial" w:hAnsi="Arial"/>
          <w:sz w:val="21"/>
          <w:szCs w:val="21"/>
          <w:b w:val="1"/>
          <w:bCs w:val="1"/>
          <w:color w:val="auto"/>
        </w:rPr>
        <w:t xml:space="preserve"> </w:t>
      </w:r>
      <w:r>
        <w:rPr>
          <w:rFonts w:ascii="Arial" w:cs="Arial" w:eastAsia="Arial" w:hAnsi="Arial"/>
          <w:sz w:val="21"/>
          <w:szCs w:val="21"/>
          <w:color w:val="auto"/>
        </w:rPr>
        <w:t>of the Existing Lease shall be deleted and replaced with the following:</w:t>
      </w:r>
    </w:p>
    <w:p>
      <w:pPr>
        <w:spacing w:after="0" w:line="178" w:lineRule="exact"/>
        <w:rPr>
          <w:sz w:val="20"/>
          <w:szCs w:val="20"/>
          <w:color w:val="auto"/>
        </w:rPr>
      </w:pPr>
    </w:p>
    <w:p>
      <w:pPr>
        <w:jc w:val="both"/>
        <w:ind w:left="640" w:right="620" w:firstLine="216"/>
        <w:spacing w:after="0" w:line="229" w:lineRule="auto"/>
        <w:rPr>
          <w:sz w:val="20"/>
          <w:szCs w:val="20"/>
          <w:color w:val="auto"/>
        </w:rPr>
      </w:pPr>
      <w:r>
        <w:rPr>
          <w:rFonts w:ascii="Arial" w:cs="Arial" w:eastAsia="Arial" w:hAnsi="Arial"/>
          <w:sz w:val="20"/>
          <w:szCs w:val="20"/>
          <w:color w:val="auto"/>
        </w:rPr>
        <w:t xml:space="preserve">22.1 </w:t>
      </w:r>
      <w:r>
        <w:rPr>
          <w:rFonts w:ascii="Arial" w:cs="Arial" w:eastAsia="Arial" w:hAnsi="Arial"/>
          <w:sz w:val="20"/>
          <w:szCs w:val="20"/>
          <w:b w:val="1"/>
          <w:bCs w:val="1"/>
          <w:u w:val="single" w:color="auto"/>
          <w:color w:val="auto"/>
        </w:rPr>
        <w:t>In General</w:t>
      </w:r>
      <w:r>
        <w:rPr>
          <w:rFonts w:ascii="Arial" w:cs="Arial" w:eastAsia="Arial" w:hAnsi="Arial"/>
          <w:sz w:val="20"/>
          <w:szCs w:val="20"/>
          <w:color w:val="auto"/>
        </w:rPr>
        <w:t>. Tenant shall have the right to use, on a non-exclusive basis, the roof deck located on the seventh (7th) floor of the North Building (the “</w:t>
      </w:r>
      <w:r>
        <w:rPr>
          <w:rFonts w:ascii="Arial" w:cs="Arial" w:eastAsia="Arial" w:hAnsi="Arial"/>
          <w:sz w:val="20"/>
          <w:szCs w:val="20"/>
          <w:b w:val="1"/>
          <w:bCs w:val="1"/>
          <w:color w:val="auto"/>
        </w:rPr>
        <w:t>Roof Deck</w:t>
      </w:r>
      <w:r>
        <w:rPr>
          <w:rFonts w:ascii="Arial" w:cs="Arial" w:eastAsia="Arial" w:hAnsi="Arial"/>
          <w:sz w:val="20"/>
          <w:szCs w:val="20"/>
          <w:color w:val="auto"/>
        </w:rPr>
        <w:t>”), which Roof Deck shall, for purposes of this Lease, be deemed part of the Common Areas. Tenant’s use of the Roof Deck shall be subject to such reasonable rules and regulations as may be prescribed by Landlord from time to time. Tenant shall not make any improvements or alterations to the Roof Deck, nor shall Tenant be permitted to install or place on the Roof Deck any furniture, fixtures, plants, graphics, signs or insignias or other items of any kind whatsoever.</w:t>
      </w:r>
    </w:p>
    <w:p>
      <w:pPr>
        <w:spacing w:after="0" w:line="152" w:lineRule="exact"/>
        <w:rPr>
          <w:sz w:val="20"/>
          <w:szCs w:val="20"/>
          <w:color w:val="auto"/>
        </w:rPr>
      </w:pPr>
    </w:p>
    <w:p>
      <w:pPr>
        <w:jc w:val="both"/>
        <w:ind w:left="640" w:right="620" w:firstLine="295"/>
        <w:spacing w:after="0" w:line="243"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b w:val="1"/>
          <w:bCs w:val="1"/>
          <w:u w:val="single" w:color="auto"/>
          <w:color w:val="auto"/>
        </w:rPr>
        <w:t>Landlord Use Rights</w:t>
      </w:r>
      <w:r>
        <w:rPr>
          <w:rFonts w:ascii="Arial" w:cs="Arial" w:eastAsia="Arial" w:hAnsi="Arial"/>
          <w:sz w:val="19"/>
          <w:szCs w:val="19"/>
          <w:color w:val="auto"/>
        </w:rPr>
        <w:t>. Landlord shall have the right to temporarily close the Roof Deck or limit access thereto from time to time (i) in connection with Landlord’s maintenance or repair of the Roof Deck or Buildings and</w:t>
      </w:r>
    </w:p>
    <w:p>
      <w:pPr>
        <w:spacing w:after="0" w:line="1" w:lineRule="exact"/>
        <w:rPr>
          <w:sz w:val="20"/>
          <w:szCs w:val="20"/>
          <w:color w:val="auto"/>
        </w:rPr>
      </w:pPr>
    </w:p>
    <w:p>
      <w:pPr>
        <w:ind w:left="640" w:right="640" w:hanging="6"/>
        <w:spacing w:after="0" w:line="227" w:lineRule="auto"/>
        <w:tabs>
          <w:tab w:leader="none" w:pos="994" w:val="left"/>
        </w:tabs>
        <w:numPr>
          <w:ilvl w:val="0"/>
          <w:numId w:val="70"/>
        </w:numPr>
        <w:rPr>
          <w:rFonts w:ascii="Arial" w:cs="Arial" w:eastAsia="Arial" w:hAnsi="Arial"/>
          <w:sz w:val="21"/>
          <w:szCs w:val="21"/>
          <w:color w:val="auto"/>
        </w:rPr>
      </w:pPr>
      <w:r>
        <w:rPr>
          <w:rFonts w:ascii="Arial" w:cs="Arial" w:eastAsia="Arial" w:hAnsi="Arial"/>
          <w:sz w:val="21"/>
          <w:szCs w:val="21"/>
          <w:color w:val="auto"/>
        </w:rPr>
        <w:t>for other reasonable purposes, including, without limitation, for events hosted on behalf of or for Landlord (collectively, “</w:t>
      </w:r>
      <w:r>
        <w:rPr>
          <w:rFonts w:ascii="Arial" w:cs="Arial" w:eastAsia="Arial" w:hAnsi="Arial"/>
          <w:sz w:val="21"/>
          <w:szCs w:val="21"/>
          <w:b w:val="1"/>
          <w:bCs w:val="1"/>
          <w:color w:val="auto"/>
        </w:rPr>
        <w:t>Landlord Use Rights</w:t>
      </w:r>
      <w:r>
        <w:rPr>
          <w:rFonts w:ascii="Arial" w:cs="Arial" w:eastAsia="Arial" w:hAnsi="Arial"/>
          <w:sz w:val="21"/>
          <w:szCs w:val="21"/>
          <w:color w:val="auto"/>
        </w:rPr>
        <w:t>”).</w:t>
      </w:r>
    </w:p>
    <w:p>
      <w:pPr>
        <w:spacing w:after="0" w:line="149" w:lineRule="exact"/>
        <w:rPr>
          <w:sz w:val="20"/>
          <w:szCs w:val="20"/>
          <w:color w:val="auto"/>
        </w:rPr>
      </w:pPr>
    </w:p>
    <w:p>
      <w:pPr>
        <w:jc w:val="both"/>
        <w:ind w:left="640" w:right="620" w:firstLine="374"/>
        <w:spacing w:after="0" w:line="235" w:lineRule="auto"/>
        <w:rPr>
          <w:sz w:val="20"/>
          <w:szCs w:val="20"/>
          <w:color w:val="auto"/>
        </w:rPr>
      </w:pPr>
      <w:r>
        <w:rPr>
          <w:rFonts w:ascii="Arial" w:cs="Arial" w:eastAsia="Arial" w:hAnsi="Arial"/>
          <w:sz w:val="19"/>
          <w:szCs w:val="19"/>
          <w:color w:val="auto"/>
        </w:rPr>
        <w:t xml:space="preserve">22.3 </w:t>
      </w:r>
      <w:r>
        <w:rPr>
          <w:rFonts w:ascii="Arial" w:cs="Arial" w:eastAsia="Arial" w:hAnsi="Arial"/>
          <w:sz w:val="19"/>
          <w:szCs w:val="19"/>
          <w:b w:val="1"/>
          <w:bCs w:val="1"/>
          <w:u w:val="single" w:color="auto"/>
          <w:color w:val="auto"/>
        </w:rPr>
        <w:t>Other Terms</w:t>
      </w:r>
      <w:r>
        <w:rPr>
          <w:rFonts w:ascii="Arial" w:cs="Arial" w:eastAsia="Arial" w:hAnsi="Arial"/>
          <w:sz w:val="19"/>
          <w:szCs w:val="19"/>
          <w:color w:val="auto"/>
        </w:rPr>
        <w:t>. Landlord and Tenant acknowledge and agree that (i) Tenant shall be responsible for supervising and controlling access to the Roof Deck by Tenant’s employees, officers, directors, shareholders, agents, representatives, contractors and invitees (the “</w:t>
      </w:r>
      <w:r>
        <w:rPr>
          <w:rFonts w:ascii="Arial" w:cs="Arial" w:eastAsia="Arial" w:hAnsi="Arial"/>
          <w:sz w:val="19"/>
          <w:szCs w:val="19"/>
          <w:b w:val="1"/>
          <w:bCs w:val="1"/>
          <w:color w:val="auto"/>
        </w:rPr>
        <w:t>Roof Deck Users</w:t>
      </w:r>
      <w:r>
        <w:rPr>
          <w:rFonts w:ascii="Arial" w:cs="Arial" w:eastAsia="Arial" w:hAnsi="Arial"/>
          <w:sz w:val="19"/>
          <w:szCs w:val="19"/>
          <w:color w:val="auto"/>
        </w:rPr>
        <w:t>”); and (ii) Landlord is not responsible for supervising and controlling access to the Roof Deck, except in connection with Landlord’s exercise of Landlord’s Use Rights. Except to the extent arising as a consequence of the negligence or willful misconduct of Landlord: (a) Tenant assumes the risk for any Loss arising out of the use or misuse of the Roof Deck by Tenant’s Roof Deck Users, and Tenant releases and discharges Landlord from and against any such loss, claim, damage or liability; (b) Tenant further agrees to indemnify, defend and hold Landlord and the Landlord Parties, harmless from and against any and all losses and claims relating to or arising out of the use or misuse of the Roof Deck by Tenant or Tenant’s Roof Deck Users. Except to the extent arising as a consequence of the negligence or willful misconduct of Tenant: (A) Landlord assumes the risk for any Loss arising out of the use or misuse of the Roof Deck by Landlord’s Roof Deck Users, and Landlord releases and discharges Tenant from and against any such Loss; (B) Landlord further agrees to indemnify, defend and hold Tenant and the Tenant Parties, harmless from and against any and all Losses relating to or arising out of the use or misuse of the Roof Deck by Landlord or Landlord’s Roof Deck Users. Neither party shall have any liability or responsibility to monitor the use, or manner of use, by the Roof Deck Users of the other party.</w:t>
      </w:r>
    </w:p>
    <w:p>
      <w:pPr>
        <w:spacing w:after="0" w:line="148" w:lineRule="exact"/>
        <w:rPr>
          <w:sz w:val="20"/>
          <w:szCs w:val="20"/>
          <w:color w:val="auto"/>
        </w:rPr>
      </w:pPr>
    </w:p>
    <w:p>
      <w:pPr>
        <w:ind w:left="1260" w:hanging="626"/>
        <w:spacing w:after="0"/>
        <w:tabs>
          <w:tab w:leader="none" w:pos="1260"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Signs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 23.3 and 23.5</w:t>
      </w:r>
      <w:r>
        <w:rPr>
          <w:rFonts w:ascii="Arial" w:cs="Arial" w:eastAsia="Arial" w:hAnsi="Arial"/>
          <w:sz w:val="21"/>
          <w:szCs w:val="21"/>
          <w:b w:val="1"/>
          <w:bCs w:val="1"/>
          <w:color w:val="auto"/>
        </w:rPr>
        <w:t xml:space="preserve"> </w:t>
      </w:r>
      <w:r>
        <w:rPr>
          <w:rFonts w:ascii="Arial" w:cs="Arial" w:eastAsia="Arial" w:hAnsi="Arial"/>
          <w:sz w:val="21"/>
          <w:szCs w:val="21"/>
          <w:color w:val="auto"/>
        </w:rPr>
        <w:t>of the Existing Lease shall be deleted and replaced with the following:</w:t>
      </w:r>
    </w:p>
    <w:p>
      <w:pPr>
        <w:spacing w:after="0" w:line="178" w:lineRule="exact"/>
        <w:rPr>
          <w:sz w:val="20"/>
          <w:szCs w:val="20"/>
          <w:color w:val="auto"/>
        </w:rPr>
      </w:pPr>
    </w:p>
    <w:p>
      <w:pPr>
        <w:jc w:val="both"/>
        <w:ind w:left="640" w:right="620" w:firstLine="236"/>
        <w:spacing w:after="0" w:line="229" w:lineRule="auto"/>
        <w:rPr>
          <w:sz w:val="20"/>
          <w:szCs w:val="20"/>
          <w:color w:val="auto"/>
        </w:rPr>
      </w:pPr>
      <w:r>
        <w:rPr>
          <w:rFonts w:ascii="Arial" w:cs="Arial" w:eastAsia="Arial" w:hAnsi="Arial"/>
          <w:sz w:val="21"/>
          <w:szCs w:val="21"/>
          <w:color w:val="auto"/>
        </w:rPr>
        <w:t xml:space="preserve">23.3 </w:t>
      </w:r>
      <w:r>
        <w:rPr>
          <w:rFonts w:ascii="Arial" w:cs="Arial" w:eastAsia="Arial" w:hAnsi="Arial"/>
          <w:sz w:val="21"/>
          <w:szCs w:val="21"/>
          <w:b w:val="1"/>
          <w:bCs w:val="1"/>
          <w:u w:val="single" w:color="auto"/>
          <w:color w:val="auto"/>
        </w:rPr>
        <w:t>Lobby Signage</w:t>
      </w:r>
      <w:r>
        <w:rPr>
          <w:rFonts w:ascii="Arial" w:cs="Arial" w:eastAsia="Arial" w:hAnsi="Arial"/>
          <w:sz w:val="21"/>
          <w:szCs w:val="21"/>
          <w:color w:val="auto"/>
        </w:rPr>
        <w:t>. Original Tenant and any Permitted Transferee Assignee, at Tenant’s sole cost and expense, shall have the non-exclusive right to install, repair and maintain its name and/or logo in the North Lobby and the South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12</w:t>
      </w:r>
    </w:p>
    <w:p>
      <w:pPr>
        <w:sectPr>
          <w:pgSz w:w="11900" w:h="16838" w:orient="portrait"/>
          <w:cols w:equalWidth="0" w:num="1">
            <w:col w:w="11240"/>
          </w:cols>
          <w:pgMar w:left="320" w:top="1364" w:right="339" w:bottom="1440" w:gutter="0" w:footer="0" w:header="0"/>
        </w:sectPr>
      </w:pPr>
    </w:p>
    <w:bookmarkStart w:id="128" w:name="page129"/>
    <w:bookmarkEnd w:id="128"/>
    <w:p>
      <w:pPr>
        <w:jc w:val="both"/>
        <w:ind w:left="640" w:right="620"/>
        <w:spacing w:after="0" w:line="248" w:lineRule="auto"/>
        <w:rPr>
          <w:sz w:val="20"/>
          <w:szCs w:val="20"/>
          <w:color w:val="auto"/>
        </w:rPr>
      </w:pPr>
      <w:r>
        <w:rPr>
          <w:rFonts w:ascii="Arial" w:cs="Arial" w:eastAsia="Arial" w:hAnsi="Arial"/>
          <w:sz w:val="19"/>
          <w:szCs w:val="19"/>
          <w:color w:val="auto"/>
        </w:rPr>
        <w:t>Lobby. Any such installation, repair and/or maintenance shall be subject to compliance with Applicable Laws and Landlord’s prior approval of any such signs (including the size and location of any such signs), which approval shall not be unreasonably withheld, conditioned or delayed. In any event, Tenant shall be entitled to building standard signage in the lobby directory of the North Complex and the South Complex throughout the Lease Term.</w:t>
      </w:r>
    </w:p>
    <w:p>
      <w:pPr>
        <w:spacing w:after="0" w:line="140" w:lineRule="exact"/>
        <w:rPr>
          <w:sz w:val="20"/>
          <w:szCs w:val="20"/>
          <w:color w:val="auto"/>
        </w:rPr>
      </w:pPr>
    </w:p>
    <w:p>
      <w:pPr>
        <w:jc w:val="both"/>
        <w:ind w:left="640" w:right="620" w:firstLine="223"/>
        <w:spacing w:after="0" w:line="233" w:lineRule="auto"/>
        <w:rPr>
          <w:sz w:val="20"/>
          <w:szCs w:val="20"/>
          <w:color w:val="auto"/>
        </w:rPr>
      </w:pPr>
      <w:r>
        <w:rPr>
          <w:rFonts w:ascii="Arial" w:cs="Arial" w:eastAsia="Arial" w:hAnsi="Arial"/>
          <w:sz w:val="19"/>
          <w:szCs w:val="19"/>
          <w:color w:val="auto"/>
        </w:rPr>
        <w:t xml:space="preserve">23.5 </w:t>
      </w:r>
      <w:r>
        <w:rPr>
          <w:rFonts w:ascii="Arial" w:cs="Arial" w:eastAsia="Arial" w:hAnsi="Arial"/>
          <w:sz w:val="19"/>
          <w:szCs w:val="19"/>
          <w:b w:val="1"/>
          <w:bCs w:val="1"/>
          <w:u w:val="single" w:color="auto"/>
          <w:color w:val="auto"/>
        </w:rPr>
        <w:t>Exterior Signage</w:t>
      </w:r>
      <w:r>
        <w:rPr>
          <w:rFonts w:ascii="Arial" w:cs="Arial" w:eastAsia="Arial" w:hAnsi="Arial"/>
          <w:sz w:val="19"/>
          <w:szCs w:val="19"/>
          <w:color w:val="auto"/>
        </w:rPr>
        <w:t xml:space="preserve">. Throughout the Lease Term, as the same may be extended, so long as Tenant satisfies the Minimum Signage Threshold, Original Tenant and any Permitted Transferee Assignee, at Tenant’s sole cost and expense, shall have the non-exclusive right (except to the extent provided below) to install, repair and maintain (i) its name and logo on any monument sign installed by Landlord (in Landlord’s sole discretion) and associated with a particular Building in which all or a portion of the Premises is located (provided that Tenant hereby acknowledges and agrees that no monument sign exists as of the date of this Lease, and Landlord has no obligation to install any monument sign for any Building), and (ii) Tenant’s pro rata share of signs applicable to the office space of the Project generally, and exclusive signage rights for exterior signage that pertains to a particular Building, which Tenant is then leasing the entirety of, which exterior signs may be Tenant’s name and/or logo. The location of all exterior signs available for office tenants of the Project are shown on </w:t>
      </w:r>
      <w:r>
        <w:rPr>
          <w:rFonts w:ascii="Arial" w:cs="Arial" w:eastAsia="Arial" w:hAnsi="Arial"/>
          <w:sz w:val="19"/>
          <w:szCs w:val="19"/>
          <w:b w:val="1"/>
          <w:bCs w:val="1"/>
          <w:u w:val="single" w:color="auto"/>
          <w:color w:val="auto"/>
        </w:rPr>
        <w:t>Exhibit J</w:t>
      </w:r>
      <w:r>
        <w:rPr>
          <w:rFonts w:ascii="Arial" w:cs="Arial" w:eastAsia="Arial" w:hAnsi="Arial"/>
          <w:sz w:val="19"/>
          <w:szCs w:val="19"/>
          <w:color w:val="auto"/>
        </w:rPr>
        <w:t xml:space="preserve"> attached hereto. Landlord shall work with Tenant to obtain City and other required approvals of such monument and exterior signs. Any such installation, repair and/or maintenance (including the exact location thereof) shall be subject to compliance with Applicable Laws, the Underlying Documents and Landlord’s prior approval, which approval shall not be unreasonably withheld, conditioned or delayed. Notwithstanding anything to the contrary set forth herein, Landlord shall be entitled to grant any retail tenants the rights to install their standard building sign package, including, eyebrow signage, blade signage, and store front signage, on or about their premises, and may grant such retail tenants monument signage rights, with the name and/or logo of such tenant located below Tenant’s name and logo on any shared monument sign. The anticipated size, types and locations of retail signage are set forth on </w:t>
      </w:r>
      <w:r>
        <w:rPr>
          <w:rFonts w:ascii="Arial" w:cs="Arial" w:eastAsia="Arial" w:hAnsi="Arial"/>
          <w:sz w:val="19"/>
          <w:szCs w:val="19"/>
          <w:b w:val="1"/>
          <w:bCs w:val="1"/>
          <w:u w:val="single" w:color="auto"/>
          <w:color w:val="auto"/>
        </w:rPr>
        <w:t>Exhibit J-1</w:t>
      </w:r>
      <w:r>
        <w:rPr>
          <w:rFonts w:ascii="Arial" w:cs="Arial" w:eastAsia="Arial" w:hAnsi="Arial"/>
          <w:sz w:val="19"/>
          <w:szCs w:val="19"/>
          <w:color w:val="auto"/>
        </w:rPr>
        <w:t xml:space="preserve"> attached hereto; provided that the exact size, types and locations of such signage shall be reasonably determined by Landlord in consultation with Tenant (but such consultation shall not be required if Landlord does not depart from the signage shown on </w:t>
      </w:r>
      <w:r>
        <w:rPr>
          <w:rFonts w:ascii="Arial" w:cs="Arial" w:eastAsia="Arial" w:hAnsi="Arial"/>
          <w:sz w:val="19"/>
          <w:szCs w:val="19"/>
          <w:b w:val="1"/>
          <w:bCs w:val="1"/>
          <w:u w:val="single" w:color="auto"/>
          <w:color w:val="auto"/>
        </w:rPr>
        <w:t>Exhibit J-1</w:t>
      </w:r>
      <w:r>
        <w:rPr>
          <w:rFonts w:ascii="Arial" w:cs="Arial" w:eastAsia="Arial" w:hAnsi="Arial"/>
          <w:sz w:val="19"/>
          <w:szCs w:val="19"/>
          <w:color w:val="auto"/>
        </w:rPr>
        <w:t xml:space="preserve">) and subject to City and other required approvals and the Underlying Documents. In addition, Landlord may grant exterior signage rights to other tenants of the Project, based on the locations of signage shown on </w:t>
      </w:r>
      <w:r>
        <w:rPr>
          <w:rFonts w:ascii="Arial" w:cs="Arial" w:eastAsia="Arial" w:hAnsi="Arial"/>
          <w:sz w:val="19"/>
          <w:szCs w:val="19"/>
          <w:b w:val="1"/>
          <w:bCs w:val="1"/>
          <w:u w:val="single" w:color="auto"/>
          <w:color w:val="auto"/>
        </w:rPr>
        <w:t>Exhibit J</w:t>
      </w:r>
      <w:r>
        <w:rPr>
          <w:rFonts w:ascii="Arial" w:cs="Arial" w:eastAsia="Arial" w:hAnsi="Arial"/>
          <w:sz w:val="19"/>
          <w:szCs w:val="19"/>
          <w:color w:val="auto"/>
        </w:rPr>
        <w:t xml:space="preserve"> attached hereto. The term “</w:t>
      </w:r>
      <w:r>
        <w:rPr>
          <w:rFonts w:ascii="Arial" w:cs="Arial" w:eastAsia="Arial" w:hAnsi="Arial"/>
          <w:sz w:val="19"/>
          <w:szCs w:val="19"/>
          <w:b w:val="1"/>
          <w:bCs w:val="1"/>
          <w:color w:val="auto"/>
        </w:rPr>
        <w:t>Minimum Signage Threshold</w:t>
      </w:r>
      <w:r>
        <w:rPr>
          <w:rFonts w:ascii="Arial" w:cs="Arial" w:eastAsia="Arial" w:hAnsi="Arial"/>
          <w:sz w:val="19"/>
          <w:szCs w:val="19"/>
          <w:color w:val="auto"/>
        </w:rPr>
        <w:t>” shall mean that the Original Tenant and/or its Permitted Transferee Assignee shall not have, in the aggregate, subleased (pursuant to a sublease or subleases then in effect) more than, twenty-five percent (25%) of the rentable square footage of the then-existing Premises.</w:t>
      </w:r>
    </w:p>
    <w:p>
      <w:pPr>
        <w:spacing w:after="0" w:line="152" w:lineRule="exact"/>
        <w:rPr>
          <w:sz w:val="20"/>
          <w:szCs w:val="20"/>
          <w:color w:val="auto"/>
        </w:rPr>
      </w:pPr>
    </w:p>
    <w:p>
      <w:pPr>
        <w:jc w:val="both"/>
        <w:ind w:firstLine="634"/>
        <w:spacing w:after="0" w:line="228" w:lineRule="auto"/>
        <w:tabs>
          <w:tab w:leader="none" w:pos="1259"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 Parking</w:t>
      </w:r>
      <w:r>
        <w:rPr>
          <w:rFonts w:ascii="Arial" w:cs="Arial" w:eastAsia="Arial" w:hAnsi="Arial"/>
          <w:sz w:val="20"/>
          <w:szCs w:val="20"/>
          <w:color w:val="auto"/>
        </w:rPr>
        <w:t>. The first sentence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28.1</w:t>
      </w:r>
      <w:r>
        <w:rPr>
          <w:rFonts w:ascii="Arial" w:cs="Arial" w:eastAsia="Arial" w:hAnsi="Arial"/>
          <w:sz w:val="20"/>
          <w:szCs w:val="20"/>
          <w:b w:val="1"/>
          <w:bCs w:val="1"/>
          <w:color w:val="auto"/>
        </w:rPr>
        <w:t xml:space="preserve"> </w:t>
      </w:r>
      <w:r>
        <w:rPr>
          <w:rFonts w:ascii="Arial" w:cs="Arial" w:eastAsia="Arial" w:hAnsi="Arial"/>
          <w:sz w:val="20"/>
          <w:szCs w:val="20"/>
          <w:color w:val="auto"/>
        </w:rPr>
        <w:t>of the Existing Lease shall be amended and restated (from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after the Give-Back Date) as follows: “Subject to the terms of this </w:t>
      </w:r>
      <w:r>
        <w:rPr>
          <w:rFonts w:ascii="Arial" w:cs="Arial" w:eastAsia="Arial" w:hAnsi="Arial"/>
          <w:sz w:val="20"/>
          <w:szCs w:val="20"/>
          <w:u w:val="single" w:color="auto"/>
          <w:color w:val="auto"/>
        </w:rPr>
        <w:t>Article 28</w:t>
      </w:r>
      <w:r>
        <w:rPr>
          <w:rFonts w:ascii="Arial" w:cs="Arial" w:eastAsia="Arial" w:hAnsi="Arial"/>
          <w:sz w:val="20"/>
          <w:szCs w:val="20"/>
          <w:color w:val="auto"/>
        </w:rPr>
        <w:t>, Tenant shall be obligated to rent from Landlord the amount of parking passes set forth in Section 9 of the Summary (the “</w:t>
      </w:r>
      <w:r>
        <w:rPr>
          <w:rFonts w:ascii="Arial" w:cs="Arial" w:eastAsia="Arial" w:hAnsi="Arial"/>
          <w:sz w:val="20"/>
          <w:szCs w:val="20"/>
          <w:b w:val="1"/>
          <w:bCs w:val="1"/>
          <w:color w:val="auto"/>
        </w:rPr>
        <w:t>Parking Passes</w:t>
      </w:r>
      <w:r>
        <w:rPr>
          <w:rFonts w:ascii="Arial" w:cs="Arial" w:eastAsia="Arial" w:hAnsi="Arial"/>
          <w:sz w:val="20"/>
          <w:szCs w:val="20"/>
          <w:color w:val="auto"/>
        </w:rPr>
        <w:t>”), on a monthly basis throughout the Lease Term, which Parking Passes shall pertain to the Project parking facilities (“</w:t>
      </w:r>
      <w:r>
        <w:rPr>
          <w:rFonts w:ascii="Arial" w:cs="Arial" w:eastAsia="Arial" w:hAnsi="Arial"/>
          <w:sz w:val="20"/>
          <w:szCs w:val="20"/>
          <w:b w:val="1"/>
          <w:bCs w:val="1"/>
          <w:color w:val="auto"/>
        </w:rPr>
        <w:t>Parking Facilities</w:t>
      </w:r>
      <w:r>
        <w:rPr>
          <w:rFonts w:ascii="Arial" w:cs="Arial" w:eastAsia="Arial" w:hAnsi="Arial"/>
          <w:sz w:val="20"/>
          <w:szCs w:val="20"/>
          <w:color w:val="auto"/>
        </w:rPr>
        <w:t>”).” Further, from and after the Give-Back Date, Tenant shall not have the right to install additional electrical vehicle charging stations in the Parking Facilities. In addition, and for the avoidance of doubt, Landlord and Tenant acknowledge and agree that (i) Tenant has previously exercised its right under Section 28.1 of the Existing Lease to decrease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13</w:t>
      </w:r>
    </w:p>
    <w:p>
      <w:pPr>
        <w:sectPr>
          <w:pgSz w:w="11900" w:h="16838" w:orient="portrait"/>
          <w:cols w:equalWidth="0" w:num="1">
            <w:col w:w="11240"/>
          </w:cols>
          <w:pgMar w:left="320" w:top="1364" w:right="339" w:bottom="1440" w:gutter="0" w:footer="0" w:header="0"/>
        </w:sectPr>
      </w:pPr>
    </w:p>
    <w:bookmarkStart w:id="129" w:name="page130"/>
    <w:bookmarkEnd w:id="129"/>
    <w:p>
      <w:pPr>
        <w:jc w:val="both"/>
        <w:spacing w:after="0" w:line="227" w:lineRule="auto"/>
        <w:rPr>
          <w:sz w:val="20"/>
          <w:szCs w:val="20"/>
          <w:color w:val="auto"/>
        </w:rPr>
      </w:pPr>
      <w:r>
        <w:rPr>
          <w:rFonts w:ascii="Arial" w:cs="Arial" w:eastAsia="Arial" w:hAnsi="Arial"/>
          <w:sz w:val="21"/>
          <w:szCs w:val="21"/>
          <w:color w:val="auto"/>
        </w:rPr>
        <w:t>Parking Passes rented by Tenant by 103; and (ii) therefore, as of the Give-Back Date, the number of Parking Passes rented by Tenant is and shall be 501 Parking Passes (i.e., 604 [1 Parking Pass per 1,000 rsf of the Remaining Premises] - 103 [Give-Back Parking Passes] = 501 Parking Passes).</w:t>
      </w:r>
    </w:p>
    <w:p>
      <w:pPr>
        <w:spacing w:after="0" w:line="148" w:lineRule="exact"/>
        <w:rPr>
          <w:sz w:val="20"/>
          <w:szCs w:val="20"/>
          <w:color w:val="auto"/>
        </w:rPr>
      </w:pPr>
    </w:p>
    <w:p>
      <w:pPr>
        <w:ind w:left="1260" w:hanging="626"/>
        <w:spacing w:after="0"/>
        <w:tabs>
          <w:tab w:leader="none" w:pos="1260"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Shuttle Service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29.40</w:t>
      </w:r>
      <w:r>
        <w:rPr>
          <w:rFonts w:ascii="Arial" w:cs="Arial" w:eastAsia="Arial" w:hAnsi="Arial"/>
          <w:sz w:val="21"/>
          <w:szCs w:val="21"/>
          <w:b w:val="1"/>
          <w:bCs w:val="1"/>
          <w:color w:val="auto"/>
        </w:rPr>
        <w:t xml:space="preserve"> </w:t>
      </w:r>
      <w:r>
        <w:rPr>
          <w:rFonts w:ascii="Arial" w:cs="Arial" w:eastAsia="Arial" w:hAnsi="Arial"/>
          <w:sz w:val="21"/>
          <w:szCs w:val="21"/>
          <w:color w:val="auto"/>
        </w:rPr>
        <w:t>of the Existing Lease shall be deleted and replaced with the following:</w:t>
      </w:r>
    </w:p>
    <w:p>
      <w:pPr>
        <w:spacing w:after="0" w:line="178" w:lineRule="exact"/>
        <w:rPr>
          <w:sz w:val="20"/>
          <w:szCs w:val="20"/>
          <w:color w:val="auto"/>
        </w:rPr>
      </w:pPr>
    </w:p>
    <w:p>
      <w:pPr>
        <w:jc w:val="both"/>
        <w:ind w:left="640" w:right="620" w:firstLine="321"/>
        <w:spacing w:after="0" w:line="234" w:lineRule="auto"/>
        <w:rPr>
          <w:sz w:val="20"/>
          <w:szCs w:val="20"/>
          <w:color w:val="auto"/>
        </w:rPr>
      </w:pPr>
      <w:r>
        <w:rPr>
          <w:rFonts w:ascii="Arial" w:cs="Arial" w:eastAsia="Arial" w:hAnsi="Arial"/>
          <w:sz w:val="19"/>
          <w:szCs w:val="19"/>
          <w:color w:val="auto"/>
        </w:rPr>
        <w:t xml:space="preserve">29.40 </w:t>
      </w:r>
      <w:r>
        <w:rPr>
          <w:rFonts w:ascii="Arial" w:cs="Arial" w:eastAsia="Arial" w:hAnsi="Arial"/>
          <w:sz w:val="19"/>
          <w:szCs w:val="19"/>
          <w:b w:val="1"/>
          <w:bCs w:val="1"/>
          <w:u w:val="single" w:color="auto"/>
          <w:color w:val="auto"/>
        </w:rPr>
        <w:t>Shuttle Service</w:t>
      </w:r>
      <w:r>
        <w:rPr>
          <w:rFonts w:ascii="Arial" w:cs="Arial" w:eastAsia="Arial" w:hAnsi="Arial"/>
          <w:sz w:val="19"/>
          <w:szCs w:val="19"/>
          <w:color w:val="auto"/>
        </w:rPr>
        <w:t xml:space="preserve">. Subject to the provisions of this </w:t>
      </w:r>
      <w:r>
        <w:rPr>
          <w:rFonts w:ascii="Arial" w:cs="Arial" w:eastAsia="Arial" w:hAnsi="Arial"/>
          <w:sz w:val="19"/>
          <w:szCs w:val="19"/>
          <w:u w:val="single" w:color="auto"/>
          <w:color w:val="auto"/>
        </w:rPr>
        <w:t>Section 29.40</w:t>
      </w:r>
      <w:r>
        <w:rPr>
          <w:rFonts w:ascii="Arial" w:cs="Arial" w:eastAsia="Arial" w:hAnsi="Arial"/>
          <w:sz w:val="19"/>
          <w:szCs w:val="19"/>
          <w:color w:val="auto"/>
        </w:rPr>
        <w:t>, so long as no Default is continuing, Landlord shall operate (or provide for the operation of), throughout the Lease Term, a shuttle service (the “</w:t>
      </w:r>
      <w:r>
        <w:rPr>
          <w:rFonts w:ascii="Arial" w:cs="Arial" w:eastAsia="Arial" w:hAnsi="Arial"/>
          <w:sz w:val="19"/>
          <w:szCs w:val="19"/>
          <w:b w:val="1"/>
          <w:bCs w:val="1"/>
          <w:color w:val="auto"/>
        </w:rPr>
        <w:t>Shuttle</w:t>
      </w:r>
      <w:r>
        <w:rPr>
          <w:rFonts w:ascii="Arial" w:cs="Arial" w:eastAsia="Arial" w:hAnsi="Arial"/>
          <w:sz w:val="19"/>
          <w:szCs w:val="19"/>
          <w:color w:val="auto"/>
        </w:rPr>
        <w:t xml:space="preserve"> </w:t>
      </w:r>
      <w:r>
        <w:rPr>
          <w:rFonts w:ascii="Arial" w:cs="Arial" w:eastAsia="Arial" w:hAnsi="Arial"/>
          <w:sz w:val="19"/>
          <w:szCs w:val="19"/>
          <w:b w:val="1"/>
          <w:bCs w:val="1"/>
          <w:color w:val="auto"/>
        </w:rPr>
        <w:t>Service</w:t>
      </w:r>
      <w:r>
        <w:rPr>
          <w:rFonts w:ascii="Arial" w:cs="Arial" w:eastAsia="Arial" w:hAnsi="Arial"/>
          <w:sz w:val="19"/>
          <w:szCs w:val="19"/>
          <w:color w:val="auto"/>
        </w:rPr>
        <w:t>”) at the Project, for non-exclusive use by Tenant’s employees at the Project (“</w:t>
      </w:r>
      <w:r>
        <w:rPr>
          <w:rFonts w:ascii="Arial" w:cs="Arial" w:eastAsia="Arial" w:hAnsi="Arial"/>
          <w:sz w:val="19"/>
          <w:szCs w:val="19"/>
          <w:b w:val="1"/>
          <w:bCs w:val="1"/>
          <w:color w:val="auto"/>
        </w:rPr>
        <w:t>Shuttle Service Riders</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common with other tenants and occupants of the Project. The use of the Shuttle Service shall be subject to the reasonable rules and regulations reasonably established from time to time by Landlord, and/or the operator of the Shuttle Service, provided that any such rules and regulations do not expressly contradict any of the terms set forth in this </w:t>
      </w:r>
      <w:r>
        <w:rPr>
          <w:rFonts w:ascii="Arial" w:cs="Arial" w:eastAsia="Arial" w:hAnsi="Arial"/>
          <w:sz w:val="19"/>
          <w:szCs w:val="19"/>
          <w:u w:val="single" w:color="auto"/>
          <w:color w:val="auto"/>
        </w:rPr>
        <w:t>Section 29.40</w:t>
      </w:r>
      <w:r>
        <w:rPr>
          <w:rFonts w:ascii="Arial" w:cs="Arial" w:eastAsia="Arial" w:hAnsi="Arial"/>
          <w:sz w:val="19"/>
          <w:szCs w:val="19"/>
          <w:color w:val="auto"/>
        </w:rPr>
        <w:t>. Landlord will reasonably designate (a) the hours of operation of the Shuttle Service, which shall at least include the hours of 8 a.m. through 10:30 a.m. and 4:30 p.m. through 7:30 p.m., five (5) days a week (excluding weekends and holidays) (the “</w:t>
      </w:r>
      <w:r>
        <w:rPr>
          <w:rFonts w:ascii="Arial" w:cs="Arial" w:eastAsia="Arial" w:hAnsi="Arial"/>
          <w:sz w:val="19"/>
          <w:szCs w:val="19"/>
          <w:b w:val="1"/>
          <w:bCs w:val="1"/>
          <w:color w:val="auto"/>
        </w:rPr>
        <w:t>Shuttle Service Hours</w:t>
      </w:r>
      <w:r>
        <w:rPr>
          <w:rFonts w:ascii="Arial" w:cs="Arial" w:eastAsia="Arial" w:hAnsi="Arial"/>
          <w:sz w:val="19"/>
          <w:szCs w:val="19"/>
          <w:color w:val="auto"/>
        </w:rPr>
        <w:t xml:space="preserve">”), (b) the frequency of stops, and (c) designated routes, which shall include stops at the nearest BART Station and CalTrain Station. Landlord and Tenant acknowledge that the use of the Shuttle Service by the Shuttle Service Riders shall be at their own risk. Landlord agrees that, if Tenant so elects and appoints a representative, Landlord shall meet and confer with Tenant’s representative from time to time regarding the manner in which the Shuttle Service is operated, including the Shuttle Service Hours, the number and capacity of shuttles, and the designated routes of the Shuttle Service; provided, however, any suggestions or requests made by Tenant’s representative shall not be binding on Landlord, but shall be taken into reasonable consideration. There shall be no fee payable by the Shuttle Service Riders for use of the Shuttle Service and the cost of the Shuttle Service shall be excluded from the Operating Expenses of the Project, as set forth in </w:t>
      </w:r>
      <w:r>
        <w:rPr>
          <w:rFonts w:ascii="Arial" w:cs="Arial" w:eastAsia="Arial" w:hAnsi="Arial"/>
          <w:sz w:val="19"/>
          <w:szCs w:val="19"/>
          <w:u w:val="single" w:color="auto"/>
          <w:color w:val="auto"/>
        </w:rPr>
        <w:t>Section 4.2.4(l)</w:t>
      </w:r>
      <w:r>
        <w:rPr>
          <w:rFonts w:ascii="Arial" w:cs="Arial" w:eastAsia="Arial" w:hAnsi="Arial"/>
          <w:sz w:val="19"/>
          <w:szCs w:val="19"/>
          <w:color w:val="auto"/>
        </w:rPr>
        <w:t xml:space="preserve"> above.</w:t>
      </w:r>
    </w:p>
    <w:p>
      <w:pPr>
        <w:spacing w:after="0" w:line="155" w:lineRule="exact"/>
        <w:rPr>
          <w:sz w:val="20"/>
          <w:szCs w:val="20"/>
          <w:color w:val="auto"/>
        </w:rPr>
      </w:pPr>
    </w:p>
    <w:p>
      <w:pPr>
        <w:jc w:val="both"/>
        <w:ind w:firstLine="634"/>
        <w:spacing w:after="0" w:line="224" w:lineRule="auto"/>
        <w:tabs>
          <w:tab w:leader="none" w:pos="1259"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Civil Code Section 1938 Disclosure</w:t>
      </w:r>
      <w:r>
        <w:rPr>
          <w:rFonts w:ascii="Arial" w:cs="Arial" w:eastAsia="Arial" w:hAnsi="Arial"/>
          <w:sz w:val="20"/>
          <w:szCs w:val="20"/>
          <w:color w:val="auto"/>
        </w:rPr>
        <w:t>. For purposes of Section 1938(a) of the California Civil Code, Landlord hereby</w:t>
      </w:r>
      <w:r>
        <w:rPr>
          <w:rFonts w:ascii="Arial" w:cs="Arial" w:eastAsia="Arial" w:hAnsi="Arial"/>
          <w:sz w:val="20"/>
          <w:szCs w:val="20"/>
          <w:b w:val="1"/>
          <w:bCs w:val="1"/>
          <w:color w:val="auto"/>
        </w:rPr>
        <w:t xml:space="preserve"> </w:t>
      </w:r>
      <w:r>
        <w:rPr>
          <w:rFonts w:ascii="Arial" w:cs="Arial" w:eastAsia="Arial" w:hAnsi="Arial"/>
          <w:sz w:val="20"/>
          <w:szCs w:val="20"/>
          <w:color w:val="auto"/>
        </w:rPr>
        <w:t>discloses to Tenant, and Tenant hereby acknowledges, that neither the Building, the Complex nor the Premises has undergone inspection by a Certified Access Specialist (CASp) (defined by California Civil Code Section 55.52) retained by Landlord or Tenant. Pursuant to California Civil Code Section 1938, Tenant is hereby notified as follows: “</w:t>
      </w:r>
      <w:r>
        <w:rPr>
          <w:rFonts w:ascii="Arial" w:cs="Arial" w:eastAsia="Arial" w:hAnsi="Arial"/>
          <w:sz w:val="20"/>
          <w:szCs w:val="20"/>
          <w:b w:val="1"/>
          <w:bCs w:val="1"/>
          <w:color w:val="auto"/>
        </w:rPr>
        <w:t>A Certified Access Specialist (CASp) can</w:t>
      </w:r>
      <w:r>
        <w:rPr>
          <w:rFonts w:ascii="Arial" w:cs="Arial" w:eastAsia="Arial" w:hAnsi="Arial"/>
          <w:sz w:val="20"/>
          <w:szCs w:val="20"/>
          <w:color w:val="auto"/>
        </w:rPr>
        <w:t xml:space="preserve"> </w:t>
      </w:r>
      <w:r>
        <w:rPr>
          <w:rFonts w:ascii="Arial" w:cs="Arial" w:eastAsia="Arial" w:hAnsi="Arial"/>
          <w:sz w:val="20"/>
          <w:szCs w:val="20"/>
          <w:b w:val="1"/>
          <w:bCs w:val="1"/>
          <w:color w:val="auto"/>
        </w:rPr>
        <w:t>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of the lessee or tenant, if requested by lessee or tenant. The parties shall mutually agree on the arrangements for the time and manner of any CASp inspection, the payment of the fee for the CASp inspection and the cost of making any repairs necessary to correct violations of construction-related accessibility standards within the premises.”</w:t>
      </w:r>
    </w:p>
    <w:p>
      <w:pPr>
        <w:spacing w:after="0" w:line="156" w:lineRule="exact"/>
        <w:rPr>
          <w:rFonts w:ascii="Arial" w:cs="Arial" w:eastAsia="Arial" w:hAnsi="Arial"/>
          <w:sz w:val="20"/>
          <w:szCs w:val="20"/>
          <w:b w:val="1"/>
          <w:bCs w:val="1"/>
          <w:color w:val="auto"/>
        </w:rPr>
      </w:pPr>
    </w:p>
    <w:p>
      <w:pPr>
        <w:jc w:val="both"/>
        <w:ind w:firstLine="634"/>
        <w:spacing w:after="0" w:line="224" w:lineRule="auto"/>
        <w:tabs>
          <w:tab w:leader="none" w:pos="1259"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Prohibited Persons; Foreign Corrupt Practices Act and Anti-Money Laundering</w:t>
      </w:r>
      <w:r>
        <w:rPr>
          <w:rFonts w:ascii="Arial" w:cs="Arial" w:eastAsia="Arial" w:hAnsi="Arial"/>
          <w:sz w:val="21"/>
          <w:szCs w:val="21"/>
          <w:color w:val="auto"/>
        </w:rPr>
        <w:t>. Neither (i) Tenant nor any of its</w:t>
      </w:r>
      <w:r>
        <w:rPr>
          <w:rFonts w:ascii="Arial" w:cs="Arial" w:eastAsia="Arial" w:hAnsi="Arial"/>
          <w:sz w:val="21"/>
          <w:szCs w:val="21"/>
          <w:b w:val="1"/>
          <w:bCs w:val="1"/>
          <w:color w:val="auto"/>
        </w:rPr>
        <w:t xml:space="preserve"> </w:t>
      </w:r>
      <w:r>
        <w:rPr>
          <w:rFonts w:ascii="Arial" w:cs="Arial" w:eastAsia="Arial" w:hAnsi="Arial"/>
          <w:sz w:val="21"/>
          <w:szCs w:val="21"/>
          <w:color w:val="auto"/>
        </w:rPr>
        <w:t>officers, directors or managers, or (ii) to Tenant’s knowledge, any of Tenant’s affiliates, nor any of their respective members, partners, other equity holders (excluding any holders of any publicly traded stock or other equity interests of Tenant, if any), officers, directors or managers is, nor during the Lease Term will they become, a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14</w:t>
      </w:r>
    </w:p>
    <w:p>
      <w:pPr>
        <w:sectPr>
          <w:pgSz w:w="11900" w:h="16838" w:orient="portrait"/>
          <w:cols w:equalWidth="0" w:num="1">
            <w:col w:w="11240"/>
          </w:cols>
          <w:pgMar w:left="320" w:top="1364" w:right="339" w:bottom="1440" w:gutter="0" w:footer="0" w:header="0"/>
        </w:sectPr>
      </w:pPr>
    </w:p>
    <w:bookmarkStart w:id="130" w:name="page131"/>
    <w:bookmarkEnd w:id="130"/>
    <w:p>
      <w:pPr>
        <w:jc w:val="both"/>
        <w:spacing w:after="0" w:line="236" w:lineRule="auto"/>
        <w:rPr>
          <w:sz w:val="20"/>
          <w:szCs w:val="20"/>
          <w:color w:val="auto"/>
        </w:rPr>
      </w:pPr>
      <w:r>
        <w:rPr>
          <w:rFonts w:ascii="Arial" w:cs="Arial" w:eastAsia="Arial" w:hAnsi="Arial"/>
          <w:sz w:val="19"/>
          <w:szCs w:val="19"/>
          <w:color w:val="auto"/>
        </w:rPr>
        <w:t>entity with whom U.S. persons or entities are restricted from doing business under (a) the Patriot Act (as defined below), (b) any other requirements contained in the rules and regulations of the Office of Foreign Assets Control,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(including any “blocked” person or entity listed in the Annex to Executive Order Nos. 12947, 13099 and 13224 and any modifications thereto or thereof or any other person or entity named on OFAC’s Specially Designated Blocked Persons List) or (c) any other U.S. statute, Executive Order (including the September 24, 2001, Executive Order Blocking Property and Prohibiting Transactions with Persons Who Commit, Threaten to Commit or Support Terrorism) or other governmental action (collectively, “</w:t>
      </w:r>
      <w:r>
        <w:rPr>
          <w:rFonts w:ascii="Arial" w:cs="Arial" w:eastAsia="Arial" w:hAnsi="Arial"/>
          <w:sz w:val="19"/>
          <w:szCs w:val="19"/>
          <w:b w:val="1"/>
          <w:bCs w:val="1"/>
          <w:color w:val="auto"/>
        </w:rPr>
        <w:t>Prohibited Persons</w:t>
      </w:r>
      <w:r>
        <w:rPr>
          <w:rFonts w:ascii="Arial" w:cs="Arial" w:eastAsia="Arial" w:hAnsi="Arial"/>
          <w:sz w:val="19"/>
          <w:szCs w:val="19"/>
          <w:color w:val="auto"/>
        </w:rPr>
        <w:t>”). Tenant is not entering into this Eighth Amendment, directly or indirectly, in violation of any laws relating to drug trafficking, money laundering or predicate crimes to money laundering. As used herein, “</w:t>
      </w:r>
      <w:r>
        <w:rPr>
          <w:rFonts w:ascii="Arial" w:cs="Arial" w:eastAsia="Arial" w:hAnsi="Arial"/>
          <w:sz w:val="19"/>
          <w:szCs w:val="19"/>
          <w:b w:val="1"/>
          <w:bCs w:val="1"/>
          <w:color w:val="auto"/>
        </w:rPr>
        <w:t>Patriot Act</w:t>
      </w:r>
      <w:r>
        <w:rPr>
          <w:rFonts w:ascii="Arial" w:cs="Arial" w:eastAsia="Arial" w:hAnsi="Arial"/>
          <w:sz w:val="19"/>
          <w:szCs w:val="19"/>
          <w:color w:val="auto"/>
        </w:rPr>
        <w:t>” shall mean the USA Patriot Act of 2001, 107 Public Law 56 (October 26, 2001) and all other statutes, orders, rules and regulations of the U.S. government and its various executive departments, agencies and offices interpreting and implementing the Patriot Act.</w:t>
      </w:r>
    </w:p>
    <w:p>
      <w:pPr>
        <w:spacing w:after="0" w:line="154" w:lineRule="exact"/>
        <w:rPr>
          <w:sz w:val="20"/>
          <w:szCs w:val="20"/>
          <w:color w:val="auto"/>
        </w:rPr>
      </w:pPr>
    </w:p>
    <w:p>
      <w:pPr>
        <w:jc w:val="both"/>
        <w:ind w:firstLine="634"/>
        <w:spacing w:after="0" w:line="229" w:lineRule="auto"/>
        <w:tabs>
          <w:tab w:leader="none" w:pos="1259"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Required Approvals</w:t>
      </w:r>
      <w:r>
        <w:rPr>
          <w:rFonts w:ascii="Arial" w:cs="Arial" w:eastAsia="Arial" w:hAnsi="Arial"/>
          <w:sz w:val="21"/>
          <w:szCs w:val="21"/>
          <w:color w:val="auto"/>
        </w:rPr>
        <w:t>. Notwithstanding anything contained herein, the parties hereto acknowledge and agree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effectiveness of this Eighth Amendment is contingent upon the approval of this Eighth Amendment by the current mortgagee of the Project.</w:t>
      </w:r>
    </w:p>
    <w:p>
      <w:pPr>
        <w:spacing w:after="0" w:line="148" w:lineRule="exact"/>
        <w:rPr>
          <w:rFonts w:ascii="Arial" w:cs="Arial" w:eastAsia="Arial" w:hAnsi="Arial"/>
          <w:sz w:val="21"/>
          <w:szCs w:val="21"/>
          <w:b w:val="1"/>
          <w:bCs w:val="1"/>
          <w:color w:val="auto"/>
        </w:rPr>
      </w:pPr>
    </w:p>
    <w:p>
      <w:pPr>
        <w:jc w:val="both"/>
        <w:ind w:firstLine="634"/>
        <w:spacing w:after="0" w:line="242" w:lineRule="auto"/>
        <w:tabs>
          <w:tab w:leader="none" w:pos="1259"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Tenant represents and warrants to Landlord that with the exception of CBRE, Inc. (“</w:t>
      </w:r>
      <w:r>
        <w:rPr>
          <w:rFonts w:ascii="Arial" w:cs="Arial" w:eastAsia="Arial" w:hAnsi="Arial"/>
          <w:sz w:val="19"/>
          <w:szCs w:val="19"/>
          <w:b w:val="1"/>
          <w:bCs w:val="1"/>
          <w:color w:val="auto"/>
        </w:rPr>
        <w:t>Broker</w:t>
      </w:r>
      <w:r>
        <w:rPr>
          <w:rFonts w:ascii="Arial" w:cs="Arial" w:eastAsia="Arial" w:hAnsi="Arial"/>
          <w:sz w:val="19"/>
          <w:szCs w:val="19"/>
          <w:color w:val="auto"/>
        </w:rPr>
        <w:t>”) it has not</w:t>
      </w:r>
      <w:r>
        <w:rPr>
          <w:rFonts w:ascii="Arial" w:cs="Arial" w:eastAsia="Arial" w:hAnsi="Arial"/>
          <w:sz w:val="19"/>
          <w:szCs w:val="19"/>
          <w:b w:val="1"/>
          <w:bCs w:val="1"/>
          <w:color w:val="auto"/>
        </w:rPr>
        <w:t xml:space="preserve"> </w:t>
      </w:r>
      <w:r>
        <w:rPr>
          <w:rFonts w:ascii="Arial" w:cs="Arial" w:eastAsia="Arial" w:hAnsi="Arial"/>
          <w:sz w:val="19"/>
          <w:szCs w:val="19"/>
          <w:color w:val="auto"/>
        </w:rPr>
        <w:t>engaged any other broker, finder or other person who would be entitled to any commission or fees in respect of the negotiation, execution or delivery of this Eighth Amendment, and shall indemnify, defend and hold harmless Landlord against any loss, cost, liability or expense incurred by Landlord as a result of any claim asserted by any such broker, finder or other person on the basis of any arrangements or agreements made or alleged to have been made by or on behalf of Tenant. The Broker shall be compensated pursuant to the terms of separate express written agreements specifying the commission amounts and the terms of payment.</w:t>
      </w:r>
    </w:p>
    <w:p>
      <w:pPr>
        <w:spacing w:after="0" w:line="146" w:lineRule="exact"/>
        <w:rPr>
          <w:rFonts w:ascii="Arial" w:cs="Arial" w:eastAsia="Arial" w:hAnsi="Arial"/>
          <w:sz w:val="19"/>
          <w:szCs w:val="19"/>
          <w:b w:val="1"/>
          <w:bCs w:val="1"/>
          <w:color w:val="auto"/>
        </w:rPr>
      </w:pPr>
    </w:p>
    <w:p>
      <w:pPr>
        <w:jc w:val="both"/>
        <w:ind w:firstLine="634"/>
        <w:spacing w:after="0" w:line="224" w:lineRule="auto"/>
        <w:tabs>
          <w:tab w:leader="none" w:pos="1259"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Further Modification</w:t>
      </w:r>
      <w:r>
        <w:rPr>
          <w:rFonts w:ascii="Arial" w:cs="Arial" w:eastAsia="Arial" w:hAnsi="Arial"/>
          <w:sz w:val="21"/>
          <w:szCs w:val="21"/>
          <w:color w:val="auto"/>
        </w:rPr>
        <w:t>. Except as set forth in this Eighth Amendment, all of the terms and provisions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Existing Lease shall remain unmodified and in full force and effect. In the event of any conflict between the terms and conditions of the Existing Lease and the terms and conditions of this Eighth Amendment, the terms and conditions of this Eighth Amendment shall prevail.</w:t>
      </w:r>
    </w:p>
    <w:p>
      <w:pPr>
        <w:spacing w:after="0" w:line="147" w:lineRule="exact"/>
        <w:rPr>
          <w:rFonts w:ascii="Arial" w:cs="Arial" w:eastAsia="Arial" w:hAnsi="Arial"/>
          <w:sz w:val="21"/>
          <w:szCs w:val="21"/>
          <w:b w:val="1"/>
          <w:bCs w:val="1"/>
          <w:color w:val="auto"/>
        </w:rPr>
      </w:pPr>
    </w:p>
    <w:p>
      <w:pPr>
        <w:ind w:firstLine="634"/>
        <w:spacing w:after="0" w:line="239" w:lineRule="auto"/>
        <w:tabs>
          <w:tab w:leader="none" w:pos="1259"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Eighth Amendment may be executed in counterparts, each of which shall constitute an original,</w:t>
      </w:r>
      <w:r>
        <w:rPr>
          <w:rFonts w:ascii="Arial" w:cs="Arial" w:eastAsia="Arial" w:hAnsi="Arial"/>
          <w:sz w:val="21"/>
          <w:szCs w:val="21"/>
          <w:b w:val="1"/>
          <w:bCs w:val="1"/>
          <w:color w:val="auto"/>
        </w:rPr>
        <w:t xml:space="preserve"> </w:t>
      </w:r>
      <w:r>
        <w:rPr>
          <w:rFonts w:ascii="Arial" w:cs="Arial" w:eastAsia="Arial" w:hAnsi="Arial"/>
          <w:sz w:val="21"/>
          <w:szCs w:val="21"/>
          <w:color w:val="auto"/>
        </w:rPr>
        <w:t>and all of which, together, shall constitute one document.</w:t>
      </w:r>
    </w:p>
    <w:p>
      <w:pPr>
        <w:spacing w:after="0" w:line="148" w:lineRule="exact"/>
        <w:rPr>
          <w:rFonts w:ascii="Arial" w:cs="Arial" w:eastAsia="Arial" w:hAnsi="Arial"/>
          <w:sz w:val="21"/>
          <w:szCs w:val="21"/>
          <w:b w:val="1"/>
          <w:bCs w:val="1"/>
          <w:color w:val="auto"/>
        </w:rPr>
      </w:pPr>
    </w:p>
    <w:p>
      <w:pPr>
        <w:jc w:val="both"/>
        <w:ind w:firstLine="634"/>
        <w:spacing w:after="0" w:line="217" w:lineRule="auto"/>
        <w:tabs>
          <w:tab w:leader="none" w:pos="1259"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Signatures</w:t>
      </w:r>
      <w:r>
        <w:rPr>
          <w:rFonts w:ascii="Arial" w:cs="Arial" w:eastAsia="Arial" w:hAnsi="Arial"/>
          <w:sz w:val="21"/>
          <w:szCs w:val="21"/>
          <w:color w:val="auto"/>
        </w:rPr>
        <w:t>. The parties hereto consent and agree that this Eighth Amendment may be signed and/or transmitted by</w:t>
      </w:r>
      <w:r>
        <w:rPr>
          <w:rFonts w:ascii="Arial" w:cs="Arial" w:eastAsia="Arial" w:hAnsi="Arial"/>
          <w:sz w:val="21"/>
          <w:szCs w:val="21"/>
          <w:b w:val="1"/>
          <w:bCs w:val="1"/>
          <w:color w:val="auto"/>
        </w:rPr>
        <w:t xml:space="preserve"> </w:t>
      </w:r>
      <w:r>
        <w:rPr>
          <w:rFonts w:ascii="Arial" w:cs="Arial" w:eastAsia="Arial" w:hAnsi="Arial"/>
          <w:sz w:val="21"/>
          <w:szCs w:val="21"/>
          <w:color w:val="auto"/>
        </w:rPr>
        <w:t>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Eighth Amendment using electronic signature technology, by clicking “SIGN”, such party is signing this Eighth Amendment electronically, and (2) the electronic signatures appearing on this Eighth Amendment shall be treated, for purposes of validity, enforceability and admissibility, the same as handwritten signatures.</w:t>
      </w:r>
    </w:p>
    <w:p>
      <w:pPr>
        <w:spacing w:after="0" w:line="150" w:lineRule="exact"/>
        <w:rPr>
          <w:rFonts w:ascii="Arial" w:cs="Arial" w:eastAsia="Arial" w:hAnsi="Arial"/>
          <w:sz w:val="21"/>
          <w:szCs w:val="21"/>
          <w:b w:val="1"/>
          <w:bCs w:val="1"/>
          <w:color w:val="auto"/>
        </w:rPr>
      </w:pPr>
    </w:p>
    <w:p>
      <w:pPr>
        <w:ind w:firstLine="634"/>
        <w:spacing w:after="0" w:line="290" w:lineRule="auto"/>
        <w:tabs>
          <w:tab w:leader="none" w:pos="1259"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Authorization</w:t>
      </w:r>
      <w:r>
        <w:rPr>
          <w:rFonts w:ascii="Arial" w:cs="Arial" w:eastAsia="Arial" w:hAnsi="Arial"/>
          <w:sz w:val="19"/>
          <w:szCs w:val="19"/>
          <w:color w:val="auto"/>
        </w:rPr>
        <w:t>. The individuals signing on behalf of each party hereby represents and warrants that such individual</w:t>
      </w:r>
      <w:r>
        <w:rPr>
          <w:rFonts w:ascii="Arial" w:cs="Arial" w:eastAsia="Arial" w:hAnsi="Arial"/>
          <w:sz w:val="19"/>
          <w:szCs w:val="19"/>
          <w:b w:val="1"/>
          <w:bCs w:val="1"/>
          <w:color w:val="auto"/>
        </w:rPr>
        <w:t xml:space="preserve"> </w:t>
      </w:r>
      <w:r>
        <w:rPr>
          <w:rFonts w:ascii="Arial" w:cs="Arial" w:eastAsia="Arial" w:hAnsi="Arial"/>
          <w:sz w:val="19"/>
          <w:szCs w:val="19"/>
          <w:color w:val="auto"/>
        </w:rPr>
        <w:t>has the capacity set forth on the signature pages hereof and has full power and authority to bind such party to the terms hereof.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DREL00096.9</w:t>
      </w:r>
      <w:r>
        <w:rPr>
          <w:sz w:val="20"/>
          <w:szCs w:val="20"/>
          <w:color w:val="auto"/>
        </w:rPr>
        <w:tab/>
      </w:r>
      <w:r>
        <w:rPr>
          <w:rFonts w:ascii="Arial" w:cs="Arial" w:eastAsia="Arial" w:hAnsi="Arial"/>
          <w:sz w:val="21"/>
          <w:szCs w:val="21"/>
          <w:color w:val="auto"/>
        </w:rPr>
        <w:t>15</w:t>
      </w:r>
    </w:p>
    <w:p>
      <w:pPr>
        <w:sectPr>
          <w:pgSz w:w="11900" w:h="16838" w:orient="portrait"/>
          <w:cols w:equalWidth="0" w:num="1">
            <w:col w:w="11240"/>
          </w:cols>
          <w:pgMar w:left="320" w:top="1364" w:right="339" w:bottom="1440" w:gutter="0" w:footer="0" w:header="0"/>
        </w:sectPr>
      </w:pPr>
    </w:p>
    <w:bookmarkStart w:id="131" w:name="page132"/>
    <w:bookmarkEnd w:id="131"/>
    <w:p>
      <w:pPr>
        <w:spacing w:after="0" w:line="233"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this Amendment as of the date first above written.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360" w:type="dxa"/>
            <w:vAlign w:val="bottom"/>
            <w:gridSpan w:val="7"/>
          </w:tcPr>
          <w:p>
            <w:pPr>
              <w:spacing w:after="0"/>
              <w:rPr>
                <w:sz w:val="20"/>
                <w:szCs w:val="20"/>
                <w:color w:val="auto"/>
              </w:rPr>
            </w:pPr>
            <w:r>
              <w:rPr>
                <w:rFonts w:ascii="Arial" w:cs="Arial" w:eastAsia="Arial" w:hAnsi="Arial"/>
                <w:sz w:val="21"/>
                <w:szCs w:val="21"/>
                <w:b w:val="1"/>
                <w:bCs w:val="1"/>
                <w:color w:val="auto"/>
              </w:rPr>
              <w:t>“LANDLORD”</w:t>
            </w:r>
          </w:p>
        </w:tc>
        <w:tc>
          <w:tcPr>
            <w:tcW w:w="3460" w:type="dxa"/>
            <w:vAlign w:val="bottom"/>
            <w:gridSpan w:val="6"/>
          </w:tcPr>
          <w:p>
            <w:pPr>
              <w:ind w:left="12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TENANT”</w:t>
            </w:r>
          </w:p>
        </w:tc>
      </w:tr>
      <w:tr>
        <w:trPr>
          <w:trHeight w:val="389"/>
        </w:trPr>
        <w:tc>
          <w:tcPr>
            <w:tcW w:w="4360" w:type="dxa"/>
            <w:vAlign w:val="bottom"/>
            <w:gridSpan w:val="7"/>
          </w:tcPr>
          <w:p>
            <w:pPr>
              <w:spacing w:after="0"/>
              <w:rPr>
                <w:sz w:val="20"/>
                <w:szCs w:val="20"/>
                <w:color w:val="auto"/>
              </w:rPr>
            </w:pPr>
            <w:r>
              <w:rPr>
                <w:rFonts w:ascii="Arial" w:cs="Arial" w:eastAsia="Arial" w:hAnsi="Arial"/>
                <w:sz w:val="21"/>
                <w:szCs w:val="21"/>
                <w:b w:val="1"/>
                <w:bCs w:val="1"/>
                <w:color w:val="auto"/>
              </w:rPr>
              <w:t>KRE EXCHANGE OWNER LLC,</w:t>
            </w:r>
          </w:p>
        </w:tc>
        <w:tc>
          <w:tcPr>
            <w:tcW w:w="3460" w:type="dxa"/>
            <w:vAlign w:val="bottom"/>
            <w:gridSpan w:val="6"/>
          </w:tcPr>
          <w:p>
            <w:pPr>
              <w:ind w:left="1240"/>
              <w:spacing w:after="0"/>
              <w:rPr>
                <w:sz w:val="20"/>
                <w:szCs w:val="20"/>
                <w:color w:val="auto"/>
              </w:rPr>
            </w:pPr>
            <w:r>
              <w:rPr>
                <w:rFonts w:ascii="Arial" w:cs="Arial" w:eastAsia="Arial" w:hAnsi="Arial"/>
                <w:sz w:val="21"/>
                <w:szCs w:val="21"/>
                <w:b w:val="1"/>
                <w:bCs w:val="1"/>
                <w:color w:val="auto"/>
              </w:rPr>
              <w:t>DROPBOX, INC.,</w:t>
            </w:r>
          </w:p>
        </w:tc>
      </w:tr>
      <w:tr>
        <w:trPr>
          <w:trHeight w:val="267"/>
        </w:trPr>
        <w:tc>
          <w:tcPr>
            <w:tcW w:w="4360" w:type="dxa"/>
            <w:vAlign w:val="bottom"/>
            <w:gridSpan w:val="7"/>
          </w:tcPr>
          <w:p>
            <w:pPr>
              <w:spacing w:after="0"/>
              <w:rPr>
                <w:sz w:val="20"/>
                <w:szCs w:val="20"/>
                <w:color w:val="auto"/>
              </w:rPr>
            </w:pPr>
            <w:r>
              <w:rPr>
                <w:rFonts w:ascii="Arial" w:cs="Arial" w:eastAsia="Arial" w:hAnsi="Arial"/>
                <w:sz w:val="21"/>
                <w:szCs w:val="21"/>
                <w:color w:val="auto"/>
              </w:rPr>
              <w:t>a Delaware limited liability company</w:t>
            </w:r>
          </w:p>
        </w:tc>
        <w:tc>
          <w:tcPr>
            <w:tcW w:w="3460" w:type="dxa"/>
            <w:vAlign w:val="bottom"/>
            <w:gridSpan w:val="6"/>
          </w:tcPr>
          <w:p>
            <w:pPr>
              <w:ind w:left="1240"/>
              <w:spacing w:after="0"/>
              <w:rPr>
                <w:sz w:val="20"/>
                <w:szCs w:val="20"/>
                <w:color w:val="auto"/>
              </w:rPr>
            </w:pPr>
            <w:r>
              <w:rPr>
                <w:rFonts w:ascii="Arial" w:cs="Arial" w:eastAsia="Arial" w:hAnsi="Arial"/>
                <w:sz w:val="21"/>
                <w:szCs w:val="21"/>
                <w:color w:val="auto"/>
              </w:rPr>
              <w:t>a Delaware corporation</w:t>
            </w:r>
          </w:p>
        </w:tc>
      </w:tr>
      <w:tr>
        <w:trPr>
          <w:trHeight w:val="633"/>
        </w:trPr>
        <w:tc>
          <w:tcPr>
            <w:tcW w:w="4360" w:type="dxa"/>
            <w:vAlign w:val="bottom"/>
            <w:gridSpan w:val="7"/>
          </w:tcPr>
          <w:p>
            <w:pPr>
              <w:spacing w:after="0"/>
              <w:rPr>
                <w:sz w:val="20"/>
                <w:szCs w:val="20"/>
                <w:color w:val="auto"/>
              </w:rPr>
            </w:pPr>
            <w:r>
              <w:rPr>
                <w:rFonts w:ascii="Arial" w:cs="Arial" w:eastAsia="Arial" w:hAnsi="Arial"/>
                <w:sz w:val="21"/>
                <w:szCs w:val="21"/>
                <w:color w:val="auto"/>
              </w:rPr>
              <w:t>By: /s/ Daniel Rudin</w:t>
            </w:r>
          </w:p>
        </w:tc>
        <w:tc>
          <w:tcPr>
            <w:tcW w:w="3460" w:type="dxa"/>
            <w:vAlign w:val="bottom"/>
            <w:gridSpan w:val="6"/>
          </w:tcPr>
          <w:p>
            <w:pPr>
              <w:ind w:left="1240"/>
              <w:spacing w:after="0"/>
              <w:rPr>
                <w:sz w:val="20"/>
                <w:szCs w:val="20"/>
                <w:color w:val="auto"/>
              </w:rPr>
            </w:pPr>
            <w:r>
              <w:rPr>
                <w:rFonts w:ascii="Arial" w:cs="Arial" w:eastAsia="Arial" w:hAnsi="Arial"/>
                <w:sz w:val="21"/>
                <w:szCs w:val="21"/>
                <w:color w:val="auto"/>
              </w:rPr>
              <w:t>By: /s/ Tim Regan</w:t>
            </w:r>
          </w:p>
        </w:tc>
      </w:tr>
      <w:tr>
        <w:trPr>
          <w:trHeight w:val="20"/>
        </w:trPr>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00"/>
        </w:trPr>
        <w:tc>
          <w:tcPr>
            <w:tcW w:w="4360" w:type="dxa"/>
            <w:vAlign w:val="bottom"/>
            <w:gridSpan w:val="7"/>
          </w:tcPr>
          <w:p>
            <w:pPr>
              <w:spacing w:after="0"/>
              <w:rPr>
                <w:sz w:val="20"/>
                <w:szCs w:val="20"/>
                <w:color w:val="auto"/>
              </w:rPr>
            </w:pPr>
            <w:r>
              <w:rPr>
                <w:rFonts w:ascii="Arial" w:cs="Arial" w:eastAsia="Arial" w:hAnsi="Arial"/>
                <w:sz w:val="21"/>
                <w:szCs w:val="21"/>
                <w:color w:val="auto"/>
              </w:rPr>
              <w:t>Print Name: Daniel Rudin</w:t>
            </w:r>
          </w:p>
        </w:tc>
        <w:tc>
          <w:tcPr>
            <w:tcW w:w="3460" w:type="dxa"/>
            <w:vAlign w:val="bottom"/>
            <w:gridSpan w:val="6"/>
          </w:tcPr>
          <w:p>
            <w:pPr>
              <w:ind w:left="1240"/>
              <w:spacing w:after="0"/>
              <w:rPr>
                <w:sz w:val="20"/>
                <w:szCs w:val="20"/>
                <w:color w:val="auto"/>
              </w:rPr>
            </w:pPr>
            <w:r>
              <w:rPr>
                <w:rFonts w:ascii="Arial" w:cs="Arial" w:eastAsia="Arial" w:hAnsi="Arial"/>
                <w:sz w:val="21"/>
                <w:szCs w:val="21"/>
                <w:color w:val="auto"/>
              </w:rPr>
              <w:t>Print Name: Tim Regan</w:t>
            </w:r>
          </w:p>
        </w:tc>
      </w:tr>
      <w:tr>
        <w:trPr>
          <w:trHeight w:val="20"/>
        </w:trPr>
        <w:tc>
          <w:tcPr>
            <w:tcW w:w="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400"/>
        </w:trPr>
        <w:tc>
          <w:tcPr>
            <w:tcW w:w="4360" w:type="dxa"/>
            <w:vAlign w:val="bottom"/>
            <w:gridSpan w:val="7"/>
          </w:tcPr>
          <w:p>
            <w:pPr>
              <w:spacing w:after="0"/>
              <w:rPr>
                <w:sz w:val="20"/>
                <w:szCs w:val="20"/>
                <w:color w:val="auto"/>
              </w:rPr>
            </w:pPr>
            <w:r>
              <w:rPr>
                <w:rFonts w:ascii="Arial" w:cs="Arial" w:eastAsia="Arial" w:hAnsi="Arial"/>
                <w:sz w:val="21"/>
                <w:szCs w:val="21"/>
                <w:color w:val="auto"/>
              </w:rPr>
              <w:t>Title: Authorized Signatory</w:t>
            </w:r>
          </w:p>
        </w:tc>
        <w:tc>
          <w:tcPr>
            <w:tcW w:w="3460" w:type="dxa"/>
            <w:vAlign w:val="bottom"/>
            <w:gridSpan w:val="6"/>
          </w:tcPr>
          <w:p>
            <w:pPr>
              <w:ind w:left="1240"/>
              <w:spacing w:after="0"/>
              <w:rPr>
                <w:sz w:val="20"/>
                <w:szCs w:val="20"/>
                <w:color w:val="auto"/>
              </w:rPr>
            </w:pPr>
            <w:r>
              <w:rPr>
                <w:rFonts w:ascii="Arial" w:cs="Arial" w:eastAsia="Arial" w:hAnsi="Arial"/>
                <w:sz w:val="21"/>
                <w:szCs w:val="21"/>
                <w:color w:val="auto"/>
              </w:rPr>
              <w:t>Title: CFO</w:t>
            </w: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059"/>
          </w:cols>
          <w:pgMar w:left="400" w:top="1440" w:right="1440" w:bottom="1440" w:gutter="0" w:footer="0" w:header="0"/>
        </w:sectPr>
      </w:pPr>
    </w:p>
    <w:bookmarkStart w:id="132" w:name="page133"/>
    <w:bookmarkEnd w:id="132"/>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EXHIBIT A</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GIVE-BACK SPACE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Floors 8, 9, 10, 11 and 12, in their entirety, of the North Tower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A</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EXHIBIT A-1</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RENTABLE SQUARE FOOTAGE OF EACH FLOOR OF THE PREMISES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600" w:type="dxa"/>
            <w:vAlign w:val="bottom"/>
            <w:tcBorders>
              <w:top w:val="single" w:sz="8" w:color="auto"/>
              <w:left w:val="single" w:sz="8" w:color="auto"/>
              <w:right w:val="single" w:sz="8" w:color="auto"/>
            </w:tcBorders>
            <w:vMerge w:val="restart"/>
          </w:tcPr>
          <w:p>
            <w:pPr>
              <w:ind w:left="1380"/>
              <w:spacing w:after="0"/>
              <w:rPr>
                <w:sz w:val="20"/>
                <w:szCs w:val="20"/>
                <w:color w:val="auto"/>
              </w:rPr>
            </w:pPr>
            <w:r>
              <w:rPr>
                <w:rFonts w:ascii="Arial" w:cs="Arial" w:eastAsia="Arial" w:hAnsi="Arial"/>
                <w:sz w:val="17"/>
                <w:szCs w:val="17"/>
                <w:color w:val="auto"/>
              </w:rPr>
              <w:t>BUILDING</w:t>
            </w: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7"/>
                <w:szCs w:val="17"/>
                <w:color w:val="auto"/>
              </w:rPr>
              <w:t>LEVEL</w:t>
            </w:r>
          </w:p>
        </w:tc>
        <w:tc>
          <w:tcPr>
            <w:tcW w:w="2360" w:type="dxa"/>
            <w:vAlign w:val="bottom"/>
            <w:tcBorders>
              <w:top w:val="single" w:sz="8" w:color="auto"/>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7"/>
              </w:rPr>
              <w:t>RENTABLE SQUARE FEET</w:t>
            </w:r>
          </w:p>
        </w:tc>
        <w:tc>
          <w:tcPr>
            <w:tcW w:w="1940" w:type="dxa"/>
            <w:vAlign w:val="bottom"/>
            <w:tcBorders>
              <w:top w:val="single" w:sz="8" w:color="auto"/>
              <w:right w:val="single" w:sz="8" w:color="auto"/>
            </w:tcBorders>
          </w:tcPr>
          <w:p>
            <w:pPr>
              <w:jc w:val="right"/>
              <w:ind w:right="173"/>
              <w:spacing w:after="0" w:line="185" w:lineRule="exact"/>
              <w:rPr>
                <w:sz w:val="20"/>
                <w:szCs w:val="20"/>
                <w:color w:val="auto"/>
              </w:rPr>
            </w:pPr>
            <w:r>
              <w:rPr>
                <w:rFonts w:ascii="Arial" w:cs="Arial" w:eastAsia="Arial" w:hAnsi="Arial"/>
                <w:sz w:val="17"/>
                <w:szCs w:val="17"/>
                <w:color w:val="auto"/>
              </w:rPr>
              <w:t>BLDG RENTABLE</w:t>
            </w:r>
          </w:p>
        </w:tc>
        <w:tc>
          <w:tcPr>
            <w:tcW w:w="1960" w:type="dxa"/>
            <w:vAlign w:val="bottom"/>
            <w:tcBorders>
              <w:top w:val="single" w:sz="8" w:color="auto"/>
              <w:right w:val="single" w:sz="8" w:color="auto"/>
            </w:tcBorders>
          </w:tcPr>
          <w:p>
            <w:pPr>
              <w:jc w:val="right"/>
              <w:ind w:right="13"/>
              <w:spacing w:after="0" w:line="185" w:lineRule="exact"/>
              <w:rPr>
                <w:sz w:val="20"/>
                <w:szCs w:val="20"/>
                <w:color w:val="auto"/>
              </w:rPr>
            </w:pPr>
            <w:r>
              <w:rPr>
                <w:rFonts w:ascii="Arial" w:cs="Arial" w:eastAsia="Arial" w:hAnsi="Arial"/>
                <w:sz w:val="17"/>
                <w:szCs w:val="17"/>
                <w:color w:val="auto"/>
              </w:rPr>
              <w:t>COMPLEX RENTABLE</w:t>
            </w:r>
          </w:p>
        </w:tc>
        <w:tc>
          <w:tcPr>
            <w:tcW w:w="0" w:type="dxa"/>
            <w:vAlign w:val="bottom"/>
          </w:tcPr>
          <w:p>
            <w:pPr>
              <w:spacing w:after="0"/>
              <w:rPr>
                <w:sz w:val="1"/>
                <w:szCs w:val="1"/>
                <w:color w:val="auto"/>
              </w:rPr>
            </w:pPr>
          </w:p>
        </w:tc>
      </w:tr>
      <w:tr>
        <w:trPr>
          <w:trHeight w:val="222"/>
        </w:trPr>
        <w:tc>
          <w:tcPr>
            <w:tcW w:w="3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PER FLOOR</w:t>
            </w:r>
          </w:p>
        </w:tc>
        <w:tc>
          <w:tcPr>
            <w:tcW w:w="1940" w:type="dxa"/>
            <w:vAlign w:val="bottom"/>
            <w:tcBorders>
              <w:bottom w:val="single" w:sz="8" w:color="auto"/>
              <w:right w:val="single" w:sz="8" w:color="auto"/>
            </w:tcBorders>
          </w:tcPr>
          <w:p>
            <w:pPr>
              <w:jc w:val="right"/>
              <w:ind w:right="313"/>
              <w:spacing w:after="0"/>
              <w:rPr>
                <w:sz w:val="20"/>
                <w:szCs w:val="20"/>
                <w:color w:val="auto"/>
              </w:rPr>
            </w:pPr>
            <w:r>
              <w:rPr>
                <w:rFonts w:ascii="Arial" w:cs="Arial" w:eastAsia="Arial" w:hAnsi="Arial"/>
                <w:sz w:val="17"/>
                <w:szCs w:val="17"/>
                <w:color w:val="auto"/>
              </w:rPr>
              <w:t>SQUARE FEET</w:t>
            </w:r>
          </w:p>
        </w:tc>
        <w:tc>
          <w:tcPr>
            <w:tcW w:w="1960" w:type="dxa"/>
            <w:vAlign w:val="bottom"/>
            <w:tcBorders>
              <w:bottom w:val="single" w:sz="8" w:color="auto"/>
              <w:right w:val="single" w:sz="8" w:color="auto"/>
            </w:tcBorders>
          </w:tcPr>
          <w:p>
            <w:pPr>
              <w:jc w:val="right"/>
              <w:ind w:right="313"/>
              <w:spacing w:after="0"/>
              <w:rPr>
                <w:sz w:val="20"/>
                <w:szCs w:val="20"/>
                <w:color w:val="auto"/>
              </w:rPr>
            </w:pPr>
            <w:r>
              <w:rPr>
                <w:rFonts w:ascii="Arial" w:cs="Arial" w:eastAsia="Arial" w:hAnsi="Arial"/>
                <w:sz w:val="17"/>
                <w:szCs w:val="17"/>
                <w:color w:val="auto"/>
              </w:rPr>
              <w:t>SQUARE FEET</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BLDG1 NORTH TOWER</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12,289.09*</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L2</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23,421.33</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23,439.15</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L4</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27,338.28</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L5</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24,618.21</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L6</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27,596.04</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L7</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26,657.33</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L8</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26,577.07**</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L9</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26,577.07**</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w w:val="98"/>
              </w:rPr>
              <w:t>L10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26,913.87**</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w w:val="98"/>
              </w:rPr>
              <w:t>L11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26,913.87**</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w w:val="98"/>
              </w:rPr>
              <w:t>L12</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26,913.87**</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299,255.17</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BLDG 2 NORTH BUILDING</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2,381.03</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L2</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11,816.12</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11,788.80</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L4</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33,664.07</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L5</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32,816.33</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L6</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32,733.18</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125,199.52</w:t>
            </w:r>
          </w:p>
        </w:tc>
        <w:tc>
          <w:tcPr>
            <w:tcW w:w="1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424,454.69</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BLDG3 SOUTH TOWER</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807.73</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L2</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464.45</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1,591.71</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L4</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30,104.76</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L5</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29,549.59</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L6</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29,550.77</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L7</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29,486.99</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L8</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29,543.96</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L9</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29,543.96</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w w:val="98"/>
              </w:rPr>
              <w:t>L10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26,302.38</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w w:val="98"/>
              </w:rPr>
              <w:t>L11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26,302.38</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w w:val="98"/>
              </w:rPr>
              <w:t>L12</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26,302.38</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259,551.05</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BLDG4 SOUTH BUILDING</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12,564.47</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L2</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0.00</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13,986.84</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L4</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13,313.33</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L5</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13,337.09</w:t>
            </w: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213"/>
              <w:spacing w:after="0"/>
              <w:rPr>
                <w:sz w:val="20"/>
                <w:szCs w:val="20"/>
                <w:color w:val="auto"/>
              </w:rPr>
            </w:pPr>
            <w:r>
              <w:rPr>
                <w:rFonts w:ascii="Arial" w:cs="Arial" w:eastAsia="Arial" w:hAnsi="Arial"/>
                <w:sz w:val="17"/>
                <w:szCs w:val="17"/>
                <w:color w:val="auto"/>
              </w:rPr>
              <w:t>L6</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13,162.86</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66,364.58</w:t>
            </w:r>
          </w:p>
        </w:tc>
        <w:tc>
          <w:tcPr>
            <w:tcW w:w="1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325,915.63</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TOTAL OVERALL BUILDING FLOOR AREA</w:t>
            </w: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b w:val="1"/>
                <w:bCs w:val="1"/>
                <w:color w:val="auto"/>
              </w:rPr>
              <w:t>750,370.32</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7"/>
                <w:szCs w:val="17"/>
                <w:color w:val="auto"/>
              </w:rPr>
              <w:t>*Retail Space, not part of the Premises.</w:t>
            </w: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7"/>
                <w:szCs w:val="17"/>
                <w:color w:val="auto"/>
              </w:rPr>
              <w:t>**Give-Back Space, not part of the Premises.</w:t>
            </w: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Exhibit A-1</w:t>
      </w:r>
    </w:p>
    <w:p>
      <w:pPr>
        <w:sectPr>
          <w:pgSz w:w="11900" w:h="16838" w:orient="portrait"/>
          <w:cols w:equalWidth="0" w:num="1">
            <w:col w:w="11260"/>
          </w:cols>
          <w:pgMar w:left="320" w:top="1440" w:right="319" w:bottom="1440" w:gutter="0" w:footer="0" w:header="0"/>
          <w:type w:val="continuous"/>
        </w:sectPr>
      </w:pPr>
    </w:p>
    <w:bookmarkStart w:id="134" w:name="page135"/>
    <w:bookmarkEnd w:id="134"/>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EXHIBIT B</w:t>
            </w:r>
          </w:p>
        </w:tc>
        <w:tc>
          <w:tcPr>
            <w:tcW w:w="1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9040" w:type="dxa"/>
            <w:vAlign w:val="bottom"/>
            <w:gridSpan w:val="5"/>
          </w:tcPr>
          <w:p>
            <w:pPr>
              <w:spacing w:after="0"/>
              <w:rPr>
                <w:sz w:val="20"/>
                <w:szCs w:val="20"/>
                <w:color w:val="auto"/>
              </w:rPr>
            </w:pPr>
            <w:r>
              <w:rPr>
                <w:rFonts w:ascii="Arial" w:cs="Arial" w:eastAsia="Arial" w:hAnsi="Arial"/>
                <w:sz w:val="21"/>
                <w:szCs w:val="21"/>
                <w:color w:val="auto"/>
              </w:rPr>
              <w:t>Effective as of the Give-Back Date, Tenant shall pay the following monthly payments:</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20" w:type="dxa"/>
            <w:vAlign w:val="bottom"/>
            <w:tcBorders>
              <w:left w:val="single" w:sz="8" w:color="auto"/>
              <w:right w:val="single" w:sz="8" w:color="auto"/>
            </w:tcBorders>
            <w:shd w:val="clear" w:color="auto" w:fill="D9D9D9"/>
          </w:tcPr>
          <w:p>
            <w:pPr>
              <w:spacing w:after="0"/>
              <w:rPr>
                <w:sz w:val="16"/>
                <w:szCs w:val="16"/>
                <w:color w:val="auto"/>
              </w:rPr>
            </w:pPr>
          </w:p>
        </w:tc>
        <w:tc>
          <w:tcPr>
            <w:tcW w:w="2340" w:type="dxa"/>
            <w:vAlign w:val="bottom"/>
            <w:gridSpan w:val="2"/>
            <w:vMerge w:val="restart"/>
            <w:shd w:val="clear" w:color="auto" w:fill="D9D9D9"/>
          </w:tcPr>
          <w:p>
            <w:pPr>
              <w:jc w:val="center"/>
              <w:spacing w:after="0"/>
              <w:rPr>
                <w:sz w:val="20"/>
                <w:szCs w:val="20"/>
                <w:color w:val="auto"/>
              </w:rPr>
            </w:pPr>
            <w:r>
              <w:rPr>
                <w:rFonts w:ascii="Arial" w:cs="Arial" w:eastAsia="Arial" w:hAnsi="Arial"/>
                <w:sz w:val="21"/>
                <w:szCs w:val="21"/>
                <w:b w:val="1"/>
                <w:bCs w:val="1"/>
                <w:color w:val="auto"/>
              </w:rPr>
              <w:t>MONTHLY PAYMENT</w:t>
            </w:r>
          </w:p>
        </w:tc>
        <w:tc>
          <w:tcPr>
            <w:tcW w:w="140" w:type="dxa"/>
            <w:vAlign w:val="bottom"/>
            <w:tcBorders>
              <w:right w:val="single" w:sz="8" w:color="auto"/>
            </w:tcBorders>
            <w:shd w:val="clear" w:color="auto" w:fill="D9D9D9"/>
          </w:tcPr>
          <w:p>
            <w:pPr>
              <w:spacing w:after="0"/>
              <w:rPr>
                <w:sz w:val="16"/>
                <w:szCs w:val="16"/>
                <w:color w:val="auto"/>
              </w:rPr>
            </w:pPr>
          </w:p>
        </w:tc>
        <w:tc>
          <w:tcPr>
            <w:tcW w:w="2740" w:type="dxa"/>
            <w:vAlign w:val="bottom"/>
            <w:tcBorders>
              <w:right w:val="single" w:sz="8" w:color="auto"/>
            </w:tcBorders>
            <w:shd w:val="clear" w:color="auto" w:fill="D9D9D9"/>
          </w:tcPr>
          <w:p>
            <w:pPr>
              <w:jc w:val="center"/>
              <w:spacing w:after="0" w:line="190" w:lineRule="exact"/>
              <w:rPr>
                <w:sz w:val="20"/>
                <w:szCs w:val="20"/>
                <w:color w:val="auto"/>
              </w:rPr>
            </w:pPr>
            <w:r>
              <w:rPr>
                <w:rFonts w:ascii="Arial" w:cs="Arial" w:eastAsia="Arial" w:hAnsi="Arial"/>
                <w:sz w:val="21"/>
                <w:szCs w:val="21"/>
                <w:b w:val="1"/>
                <w:bCs w:val="1"/>
                <w:color w:val="auto"/>
                <w:w w:val="98"/>
              </w:rPr>
              <w:t>ANNUAL “BASE RENT”</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1"/>
                <w:szCs w:val="21"/>
                <w:b w:val="1"/>
                <w:bCs w:val="1"/>
                <w:color w:val="auto"/>
              </w:rPr>
              <w:t>PERIOD</w:t>
            </w:r>
          </w:p>
        </w:tc>
        <w:tc>
          <w:tcPr>
            <w:tcW w:w="2340" w:type="dxa"/>
            <w:vAlign w:val="bottom"/>
            <w:gridSpan w:val="2"/>
            <w:vMerge w:val="continue"/>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2740" w:type="dxa"/>
            <w:vAlign w:val="bottom"/>
            <w:tcBorders>
              <w:right w:val="single" w:sz="8" w:color="auto"/>
            </w:tcBorders>
            <w:shd w:val="clear" w:color="auto" w:fill="D9D9D9"/>
          </w:tcPr>
          <w:p>
            <w:pPr>
              <w:ind w:left="80"/>
              <w:spacing w:after="0" w:line="210" w:lineRule="exact"/>
              <w:rPr>
                <w:sz w:val="20"/>
                <w:szCs w:val="20"/>
                <w:color w:val="auto"/>
              </w:rPr>
            </w:pPr>
            <w:r>
              <w:rPr>
                <w:rFonts w:ascii="Arial" w:cs="Arial" w:eastAsia="Arial" w:hAnsi="Arial"/>
                <w:sz w:val="21"/>
                <w:szCs w:val="21"/>
                <w:b w:val="1"/>
                <w:bCs w:val="1"/>
                <w:color w:val="auto"/>
              </w:rPr>
              <w:t>PER RENTABLE SQUARE</w:t>
            </w:r>
          </w:p>
        </w:tc>
        <w:tc>
          <w:tcPr>
            <w:tcW w:w="0" w:type="dxa"/>
            <w:vAlign w:val="bottom"/>
          </w:tcPr>
          <w:p>
            <w:pPr>
              <w:spacing w:after="0"/>
              <w:rPr>
                <w:sz w:val="1"/>
                <w:szCs w:val="1"/>
                <w:color w:val="auto"/>
              </w:rPr>
            </w:pPr>
          </w:p>
        </w:tc>
      </w:tr>
      <w:tr>
        <w:trPr>
          <w:trHeight w:val="275"/>
        </w:trPr>
        <w:tc>
          <w:tcPr>
            <w:tcW w:w="3820" w:type="dxa"/>
            <w:vAlign w:val="bottom"/>
            <w:tcBorders>
              <w:left w:val="single" w:sz="8" w:color="auto"/>
              <w:bottom w:val="single" w:sz="8" w:color="auto"/>
              <w:right w:val="single" w:sz="8" w:color="auto"/>
            </w:tcBorders>
            <w:vMerge w:val="continue"/>
            <w:shd w:val="clear" w:color="auto" w:fill="D9D9D9"/>
          </w:tcPr>
          <w:p>
            <w:pPr>
              <w:spacing w:after="0"/>
              <w:rPr>
                <w:sz w:val="23"/>
                <w:szCs w:val="23"/>
                <w:color w:val="auto"/>
              </w:rPr>
            </w:pPr>
          </w:p>
        </w:tc>
        <w:tc>
          <w:tcPr>
            <w:tcW w:w="2340" w:type="dxa"/>
            <w:vAlign w:val="bottom"/>
            <w:tcBorders>
              <w:bottom w:val="single" w:sz="8" w:color="auto"/>
            </w:tcBorders>
            <w:gridSpan w:val="2"/>
            <w:shd w:val="clear" w:color="auto" w:fill="D9D9D9"/>
          </w:tcPr>
          <w:p>
            <w:pPr>
              <w:jc w:val="center"/>
              <w:spacing w:after="0" w:line="275" w:lineRule="exact"/>
              <w:rPr>
                <w:sz w:val="20"/>
                <w:szCs w:val="20"/>
                <w:color w:val="auto"/>
              </w:rPr>
            </w:pPr>
            <w:r>
              <w:rPr>
                <w:rFonts w:ascii="Arial" w:cs="Arial" w:eastAsia="Arial" w:hAnsi="Arial"/>
                <w:sz w:val="21"/>
                <w:szCs w:val="21"/>
                <w:b w:val="1"/>
                <w:bCs w:val="1"/>
                <w:color w:val="auto"/>
                <w:w w:val="99"/>
              </w:rPr>
              <w:t xml:space="preserve">AMOUNT </w:t>
            </w:r>
            <w:r>
              <w:rPr>
                <w:rFonts w:ascii="Arial" w:cs="Arial" w:eastAsia="Arial" w:hAnsi="Arial"/>
                <w:sz w:val="27"/>
                <w:szCs w:val="27"/>
                <w:b w:val="1"/>
                <w:bCs w:val="1"/>
                <w:color w:val="auto"/>
                <w:w w:val="99"/>
                <w:vertAlign w:val="superscript"/>
              </w:rPr>
              <w:t>4</w:t>
            </w:r>
          </w:p>
        </w:tc>
        <w:tc>
          <w:tcPr>
            <w:tcW w:w="140" w:type="dxa"/>
            <w:vAlign w:val="bottom"/>
            <w:tcBorders>
              <w:bottom w:val="single" w:sz="8" w:color="auto"/>
              <w:right w:val="single" w:sz="8" w:color="auto"/>
            </w:tcBorders>
            <w:shd w:val="clear" w:color="auto" w:fill="D9D9D9"/>
          </w:tcPr>
          <w:p>
            <w:pPr>
              <w:spacing w:after="0"/>
              <w:rPr>
                <w:sz w:val="23"/>
                <w:szCs w:val="23"/>
                <w:color w:val="auto"/>
              </w:rPr>
            </w:pPr>
          </w:p>
        </w:tc>
        <w:tc>
          <w:tcPr>
            <w:tcW w:w="27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1"/>
                <w:szCs w:val="21"/>
                <w:b w:val="1"/>
                <w:bCs w:val="1"/>
                <w:color w:val="auto"/>
              </w:rPr>
              <w:t>FOOT</w:t>
            </w:r>
          </w:p>
        </w:tc>
        <w:tc>
          <w:tcPr>
            <w:tcW w:w="0" w:type="dxa"/>
            <w:vAlign w:val="bottom"/>
          </w:tcPr>
          <w:p>
            <w:pPr>
              <w:spacing w:after="0"/>
              <w:rPr>
                <w:sz w:val="1"/>
                <w:szCs w:val="1"/>
                <w:color w:val="auto"/>
              </w:rPr>
            </w:pPr>
          </w:p>
        </w:tc>
      </w:tr>
      <w:tr>
        <w:trPr>
          <w:trHeight w:val="255"/>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Give-Back Date to 11/30/21</w:t>
            </w: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21"/>
                <w:szCs w:val="21"/>
                <w:color w:val="auto"/>
                <w:w w:val="89"/>
              </w:rPr>
              <w:t>$733,973.23</w:t>
            </w:r>
          </w:p>
        </w:tc>
        <w:tc>
          <w:tcPr>
            <w:tcW w:w="14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$65.78</w:t>
            </w:r>
          </w:p>
        </w:tc>
        <w:tc>
          <w:tcPr>
            <w:tcW w:w="0" w:type="dxa"/>
            <w:vAlign w:val="bottom"/>
          </w:tcPr>
          <w:p>
            <w:pPr>
              <w:spacing w:after="0"/>
              <w:rPr>
                <w:sz w:val="1"/>
                <w:szCs w:val="1"/>
                <w:color w:val="auto"/>
              </w:rPr>
            </w:pPr>
          </w:p>
        </w:tc>
      </w:tr>
      <w:tr>
        <w:trPr>
          <w:trHeight w:val="255"/>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12/01/21 to 5/31/22</w:t>
            </w: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21"/>
                <w:szCs w:val="21"/>
                <w:color w:val="auto"/>
                <w:w w:val="89"/>
              </w:rPr>
              <w:t>$755,954.50</w:t>
            </w:r>
          </w:p>
        </w:tc>
        <w:tc>
          <w:tcPr>
            <w:tcW w:w="14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$67.75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615950</wp:posOffset>
            </wp:positionV>
            <wp:extent cx="16656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28" w:lineRule="auto"/>
        <w:rPr>
          <w:sz w:val="20"/>
          <w:szCs w:val="20"/>
          <w:color w:val="auto"/>
        </w:rPr>
      </w:pPr>
      <w:r>
        <w:rPr>
          <w:rFonts w:ascii="Arial" w:cs="Arial" w:eastAsia="Arial" w:hAnsi="Arial"/>
          <w:sz w:val="11"/>
          <w:szCs w:val="11"/>
          <w:color w:val="auto"/>
        </w:rPr>
        <w:t>4</w:t>
      </w:r>
      <w:r>
        <w:rPr>
          <w:rFonts w:ascii="Arial" w:cs="Arial" w:eastAsia="Arial" w:hAnsi="Arial"/>
          <w:sz w:val="19"/>
          <w:szCs w:val="19"/>
          <w:color w:val="auto"/>
        </w:rPr>
        <w:t>The seven (7) monthly payments reflected in this schedule total $5,269,700.23. If the Give-Back Date occurs after November 1, 2021, the</w:t>
      </w:r>
      <w:r>
        <w:rPr>
          <w:rFonts w:ascii="Arial" w:cs="Arial" w:eastAsia="Arial" w:hAnsi="Arial"/>
          <w:sz w:val="11"/>
          <w:szCs w:val="11"/>
          <w:color w:val="auto"/>
        </w:rPr>
        <w:t xml:space="preserve"> </w:t>
      </w:r>
      <w:r>
        <w:rPr>
          <w:rFonts w:ascii="Arial" w:cs="Arial" w:eastAsia="Arial" w:hAnsi="Arial"/>
          <w:sz w:val="19"/>
          <w:szCs w:val="19"/>
          <w:color w:val="auto"/>
        </w:rPr>
        <w:t>Monthly Payment Amount shall not be prorated. These payments will be credited against the 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60"/>
          </w:cols>
          <w:pgMar w:left="320" w:top="1440" w:right="9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9"/>
          <w:szCs w:val="19"/>
          <w:b w:val="1"/>
          <w:bCs w:val="1"/>
          <w:color w:val="auto"/>
        </w:rPr>
        <w:t>Exhibit 21.1</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780" w:type="dxa"/>
            <w:vAlign w:val="bottom"/>
            <w:gridSpan w:val="4"/>
          </w:tcPr>
          <w:p>
            <w:pPr>
              <w:ind w:left="280"/>
              <w:spacing w:after="0"/>
              <w:rPr>
                <w:sz w:val="20"/>
                <w:szCs w:val="20"/>
                <w:color w:val="auto"/>
              </w:rPr>
            </w:pPr>
            <w:r>
              <w:rPr>
                <w:rFonts w:ascii="Arial" w:cs="Arial" w:eastAsia="Arial" w:hAnsi="Arial"/>
                <w:sz w:val="19"/>
                <w:szCs w:val="19"/>
                <w:b w:val="1"/>
                <w:bCs w:val="1"/>
                <w:color w:val="auto"/>
              </w:rPr>
              <w:t>Subsidiaries of Registrant</w:t>
            </w:r>
          </w:p>
        </w:tc>
      </w:tr>
      <w:tr>
        <w:trPr>
          <w:trHeight w:val="754"/>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Name of Subsidiary</w:t>
            </w: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2"/>
              </w:rPr>
              <w:t>Jurisdiction of Incorporation</w:t>
            </w:r>
          </w:p>
        </w:tc>
      </w:tr>
      <w:tr>
        <w:trPr>
          <w:trHeight w:val="242"/>
        </w:trPr>
        <w:tc>
          <w:tcPr>
            <w:tcW w:w="4220" w:type="dxa"/>
            <w:vAlign w:val="bottom"/>
            <w:gridSpan w:val="2"/>
          </w:tcPr>
          <w:p>
            <w:pPr>
              <w:spacing w:after="0"/>
              <w:rPr>
                <w:sz w:val="20"/>
                <w:szCs w:val="20"/>
                <w:color w:val="auto"/>
              </w:rPr>
            </w:pPr>
            <w:r>
              <w:rPr>
                <w:rFonts w:ascii="Arial" w:cs="Arial" w:eastAsia="Arial" w:hAnsi="Arial"/>
                <w:sz w:val="17"/>
                <w:szCs w:val="17"/>
                <w:color w:val="auto"/>
              </w:rPr>
              <w:t>Dropbox Canada Limited</w:t>
            </w: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British Columbia</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Holding, LLC</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Hypertools, Inc.</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Orcinus Holdings, LLC</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CloudOn, Inc.</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CloudOn, Ltd.</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Israel</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DocSend, Inc.</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Australia Pty Ltd.</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Australia</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France S.A.S</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France</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Germany GmbH</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Germany</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International Unlimited Company</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Ireland</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Japan KK</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Japan</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Mexico S. de R.L. de C.V</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Mexico</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Netherlands B.V.</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Netherlands</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Singapore Pte. Ltd.</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Singapore</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Sweden AB</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Sweden</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UK Online Ltd.</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United Kingdom</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Dropbox UK Online Ltd. Zweigniederlassung Hamburg</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Germany</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JN Projects, Inc. (d/b/a HelloSign)</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r>
        <w:trPr>
          <w:trHeight w:val="223"/>
        </w:trPr>
        <w:tc>
          <w:tcPr>
            <w:tcW w:w="4220" w:type="dxa"/>
            <w:vAlign w:val="bottom"/>
            <w:gridSpan w:val="2"/>
          </w:tcPr>
          <w:p>
            <w:pPr>
              <w:spacing w:after="0"/>
              <w:rPr>
                <w:sz w:val="20"/>
                <w:szCs w:val="20"/>
                <w:color w:val="auto"/>
              </w:rPr>
            </w:pPr>
            <w:r>
              <w:rPr>
                <w:rFonts w:ascii="Arial" w:cs="Arial" w:eastAsia="Arial" w:hAnsi="Arial"/>
                <w:sz w:val="17"/>
                <w:szCs w:val="17"/>
                <w:color w:val="auto"/>
              </w:rPr>
              <w:t>Valt Inc.</w:t>
            </w: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180"/>
          </w:cols>
          <w:pgMar w:left="380" w:top="137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9"/>
          <w:szCs w:val="19"/>
          <w:b w:val="1"/>
          <w:bCs w:val="1"/>
          <w:color w:val="auto"/>
        </w:rPr>
        <w:t>Exhibit 23.1</w:t>
      </w:r>
    </w:p>
    <w:p>
      <w:pPr>
        <w:spacing w:after="0" w:line="23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333333"/>
        </w:rPr>
        <w:t>We consent to the incorporation by reference in the following Registration Statements:</w:t>
      </w:r>
    </w:p>
    <w:p>
      <w:pPr>
        <w:spacing w:after="0" w:line="237" w:lineRule="exact"/>
        <w:rPr>
          <w:sz w:val="20"/>
          <w:szCs w:val="20"/>
          <w:color w:val="auto"/>
        </w:rPr>
      </w:pPr>
    </w:p>
    <w:p>
      <w:pPr>
        <w:ind w:right="80" w:firstLine="5"/>
        <w:spacing w:after="0" w:line="257" w:lineRule="auto"/>
        <w:tabs>
          <w:tab w:leader="none" w:pos="247" w:val="left"/>
        </w:tabs>
        <w:numPr>
          <w:ilvl w:val="0"/>
          <w:numId w:val="76"/>
        </w:numPr>
        <w:rPr>
          <w:rFonts w:ascii="Arial" w:cs="Arial" w:eastAsia="Arial" w:hAnsi="Arial"/>
          <w:sz w:val="17"/>
          <w:szCs w:val="17"/>
          <w:color w:val="333333"/>
        </w:rPr>
      </w:pPr>
      <w:r>
        <w:rPr>
          <w:rFonts w:ascii="Arial" w:cs="Arial" w:eastAsia="Arial" w:hAnsi="Arial"/>
          <w:sz w:val="17"/>
          <w:szCs w:val="17"/>
          <w:color w:val="333333"/>
        </w:rPr>
        <w:t>Registration Statement (Form S-8 No. 333-255665) of Dropbox, Inc., pertaining to the 2013 Stock Plan and 2015 Stock Option and Grant Plan of DocSend, Inc.,</w:t>
      </w:r>
    </w:p>
    <w:p>
      <w:pPr>
        <w:spacing w:after="0" w:line="184" w:lineRule="exact"/>
        <w:rPr>
          <w:rFonts w:ascii="Arial" w:cs="Arial" w:eastAsia="Arial" w:hAnsi="Arial"/>
          <w:sz w:val="17"/>
          <w:szCs w:val="17"/>
          <w:color w:val="333333"/>
        </w:rPr>
      </w:pPr>
    </w:p>
    <w:p>
      <w:pPr>
        <w:ind w:left="260" w:hanging="255"/>
        <w:spacing w:after="0"/>
        <w:tabs>
          <w:tab w:leader="none" w:pos="260" w:val="left"/>
        </w:tabs>
        <w:numPr>
          <w:ilvl w:val="0"/>
          <w:numId w:val="76"/>
        </w:numPr>
        <w:rPr>
          <w:rFonts w:ascii="Arial" w:cs="Arial" w:eastAsia="Arial" w:hAnsi="Arial"/>
          <w:sz w:val="17"/>
          <w:szCs w:val="17"/>
          <w:color w:val="333333"/>
        </w:rPr>
      </w:pPr>
      <w:r>
        <w:rPr>
          <w:rFonts w:ascii="Arial" w:cs="Arial" w:eastAsia="Arial" w:hAnsi="Arial"/>
          <w:sz w:val="17"/>
          <w:szCs w:val="17"/>
          <w:color w:val="333333"/>
        </w:rPr>
        <w:t>Registration Statement (Form S-8 No. 333-253304) of Dropbox, Inc., pertaining to the 2018 Equity Incentive Plan of Dropbox, Inc.,</w:t>
      </w:r>
    </w:p>
    <w:p>
      <w:pPr>
        <w:spacing w:after="0" w:line="224" w:lineRule="exact"/>
        <w:rPr>
          <w:rFonts w:ascii="Arial" w:cs="Arial" w:eastAsia="Arial" w:hAnsi="Arial"/>
          <w:sz w:val="17"/>
          <w:szCs w:val="17"/>
          <w:color w:val="333333"/>
        </w:rPr>
      </w:pPr>
    </w:p>
    <w:p>
      <w:pPr>
        <w:ind w:left="260" w:hanging="255"/>
        <w:spacing w:after="0"/>
        <w:tabs>
          <w:tab w:leader="none" w:pos="260" w:val="left"/>
        </w:tabs>
        <w:numPr>
          <w:ilvl w:val="0"/>
          <w:numId w:val="76"/>
        </w:numPr>
        <w:rPr>
          <w:rFonts w:ascii="Arial" w:cs="Arial" w:eastAsia="Arial" w:hAnsi="Arial"/>
          <w:sz w:val="17"/>
          <w:szCs w:val="17"/>
          <w:color w:val="333333"/>
        </w:rPr>
      </w:pPr>
      <w:r>
        <w:rPr>
          <w:rFonts w:ascii="Arial" w:cs="Arial" w:eastAsia="Arial" w:hAnsi="Arial"/>
          <w:sz w:val="17"/>
          <w:szCs w:val="17"/>
          <w:color w:val="333333"/>
        </w:rPr>
        <w:t>Registration Statement (Form S-8 No. 333-236570) of Dropbox, Inc., pertaining to the 2018 Equity Incentive Plan of Dropbox, Inc.,</w:t>
      </w:r>
    </w:p>
    <w:p>
      <w:pPr>
        <w:spacing w:after="0" w:line="224" w:lineRule="exact"/>
        <w:rPr>
          <w:rFonts w:ascii="Arial" w:cs="Arial" w:eastAsia="Arial" w:hAnsi="Arial"/>
          <w:sz w:val="17"/>
          <w:szCs w:val="17"/>
          <w:color w:val="333333"/>
        </w:rPr>
      </w:pPr>
    </w:p>
    <w:p>
      <w:pPr>
        <w:ind w:left="260" w:hanging="255"/>
        <w:spacing w:after="0"/>
        <w:tabs>
          <w:tab w:leader="none" w:pos="260" w:val="left"/>
        </w:tabs>
        <w:numPr>
          <w:ilvl w:val="0"/>
          <w:numId w:val="76"/>
        </w:numPr>
        <w:rPr>
          <w:rFonts w:ascii="Arial" w:cs="Arial" w:eastAsia="Arial" w:hAnsi="Arial"/>
          <w:sz w:val="17"/>
          <w:szCs w:val="17"/>
          <w:color w:val="333333"/>
        </w:rPr>
      </w:pPr>
      <w:r>
        <w:rPr>
          <w:rFonts w:ascii="Arial" w:cs="Arial" w:eastAsia="Arial" w:hAnsi="Arial"/>
          <w:sz w:val="17"/>
          <w:szCs w:val="17"/>
          <w:color w:val="333333"/>
        </w:rPr>
        <w:t>Registration Statement (Form S-8 No. 333-229924) of Dropbox, Inc., pertaining to the 2011 Equity Incentive Plan of JN Projects, Inc.,</w:t>
      </w:r>
    </w:p>
    <w:p>
      <w:pPr>
        <w:spacing w:after="0" w:line="224" w:lineRule="exact"/>
        <w:rPr>
          <w:rFonts w:ascii="Arial" w:cs="Arial" w:eastAsia="Arial" w:hAnsi="Arial"/>
          <w:sz w:val="17"/>
          <w:szCs w:val="17"/>
          <w:color w:val="333333"/>
        </w:rPr>
      </w:pPr>
    </w:p>
    <w:p>
      <w:pPr>
        <w:ind w:left="260" w:hanging="255"/>
        <w:spacing w:after="0"/>
        <w:tabs>
          <w:tab w:leader="none" w:pos="260" w:val="left"/>
        </w:tabs>
        <w:numPr>
          <w:ilvl w:val="0"/>
          <w:numId w:val="76"/>
        </w:numPr>
        <w:rPr>
          <w:rFonts w:ascii="Arial" w:cs="Arial" w:eastAsia="Arial" w:hAnsi="Arial"/>
          <w:sz w:val="17"/>
          <w:szCs w:val="17"/>
          <w:color w:val="333333"/>
        </w:rPr>
      </w:pPr>
      <w:r>
        <w:rPr>
          <w:rFonts w:ascii="Arial" w:cs="Arial" w:eastAsia="Arial" w:hAnsi="Arial"/>
          <w:sz w:val="17"/>
          <w:szCs w:val="17"/>
          <w:color w:val="333333"/>
        </w:rPr>
        <w:t>Registration Statement (Form S-8 No. 333-229842) of Dropbox, Inc., pertaining to the 2018 Equity Incentive Plan of Dropbox, Inc., and</w:t>
      </w:r>
    </w:p>
    <w:p>
      <w:pPr>
        <w:spacing w:after="0" w:line="224" w:lineRule="exact"/>
        <w:rPr>
          <w:rFonts w:ascii="Arial" w:cs="Arial" w:eastAsia="Arial" w:hAnsi="Arial"/>
          <w:sz w:val="17"/>
          <w:szCs w:val="17"/>
          <w:color w:val="333333"/>
        </w:rPr>
      </w:pPr>
    </w:p>
    <w:p>
      <w:pPr>
        <w:ind w:right="140" w:firstLine="5"/>
        <w:spacing w:after="0" w:line="257" w:lineRule="auto"/>
        <w:tabs>
          <w:tab w:leader="none" w:pos="247" w:val="left"/>
        </w:tabs>
        <w:numPr>
          <w:ilvl w:val="0"/>
          <w:numId w:val="76"/>
        </w:numPr>
        <w:rPr>
          <w:rFonts w:ascii="Arial" w:cs="Arial" w:eastAsia="Arial" w:hAnsi="Arial"/>
          <w:sz w:val="17"/>
          <w:szCs w:val="17"/>
          <w:color w:val="333333"/>
        </w:rPr>
      </w:pPr>
      <w:r>
        <w:rPr>
          <w:rFonts w:ascii="Arial" w:cs="Arial" w:eastAsia="Arial" w:hAnsi="Arial"/>
          <w:sz w:val="17"/>
          <w:szCs w:val="17"/>
          <w:color w:val="333333"/>
        </w:rPr>
        <w:t>Registration Statement (Form S-8 No. 333-223863) of Dropbox, Inc., pertaining to the 2008 Equity Incentive Plan of Dropbox, Inc., 2017 Equity Incentive Plan of Dropbox, Inc., 2018 Equity Incentive Plan of Dropbox, Inc., and 2018 Employee Stock Purchase Plan of Dropbox, Inc.;</w:t>
      </w:r>
    </w:p>
    <w:p>
      <w:pPr>
        <w:spacing w:after="0" w:line="185"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color w:val="333333"/>
        </w:rPr>
        <w:t>of our reports dated February 18, 2022, with respect to the consolidated financial statements of Dropbox, Inc. and the effectiveness of internal control over financial reporting of Dropbox, Inc. included in this Annual Report (Form 10-K) of Dropbox, Inc. for the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333333"/>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33333"/>
        </w:rPr>
        <w:t>San Francisco,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333333"/>
        </w:rPr>
        <w:t>February 18, 2022</w:t>
      </w:r>
    </w:p>
    <w:p>
      <w:pPr>
        <w:sectPr>
          <w:pgSz w:w="11900" w:h="16838" w:orient="portrait"/>
          <w:cols w:equalWidth="0" w:num="1">
            <w:col w:w="11240"/>
          </w:cols>
          <w:pgMar w:left="320" w:top="137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4" w:lineRule="exact"/>
        <w:rPr>
          <w:sz w:val="20"/>
          <w:szCs w:val="20"/>
          <w:color w:val="auto"/>
        </w:rPr>
      </w:pPr>
    </w:p>
    <w:p>
      <w:pPr>
        <w:ind w:left="320" w:hanging="315"/>
        <w:spacing w:after="0"/>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Dropbox, Inc.;</w:t>
      </w:r>
    </w:p>
    <w:p>
      <w:pPr>
        <w:spacing w:after="0" w:line="224" w:lineRule="exact"/>
        <w:rPr>
          <w:rFonts w:ascii="Arial" w:cs="Arial" w:eastAsia="Arial" w:hAnsi="Arial"/>
          <w:sz w:val="17"/>
          <w:szCs w:val="17"/>
          <w:color w:val="auto"/>
        </w:rPr>
      </w:pPr>
    </w:p>
    <w:p>
      <w:pPr>
        <w:ind w:left="320" w:right="260" w:hanging="315"/>
        <w:spacing w:after="0" w:line="360" w:lineRule="auto"/>
        <w:tabs>
          <w:tab w:leader="none" w:pos="3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40" w:hanging="315"/>
        <w:spacing w:after="0" w:line="289"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00" w:hanging="320"/>
        <w:spacing w:after="0" w:line="273" w:lineRule="auto"/>
        <w:tabs>
          <w:tab w:leader="none" w:pos="637"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60" w:hanging="320"/>
        <w:spacing w:after="0" w:line="289" w:lineRule="auto"/>
        <w:tabs>
          <w:tab w:leader="none" w:pos="634"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00" w:hanging="320"/>
        <w:spacing w:after="0" w:line="273" w:lineRule="auto"/>
        <w:tabs>
          <w:tab w:leader="none" w:pos="637" w:val="left"/>
        </w:tabs>
        <w:numPr>
          <w:ilvl w:val="1"/>
          <w:numId w:val="7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480" w:hanging="315"/>
        <w:spacing w:after="0" w:line="322" w:lineRule="auto"/>
        <w:tabs>
          <w:tab w:leader="none" w:pos="3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160" w:hanging="320"/>
        <w:spacing w:after="0" w:line="289" w:lineRule="auto"/>
        <w:tabs>
          <w:tab w:leader="none" w:pos="637"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20" w:hanging="320"/>
        <w:spacing w:after="0" w:line="289" w:lineRule="auto"/>
        <w:tabs>
          <w:tab w:leader="none" w:pos="634"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18, 2022</w:t>
      </w:r>
    </w:p>
    <w:p>
      <w:pPr>
        <w:spacing w:after="0" w:line="14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77" w:lineRule="exact"/>
        <w:rPr>
          <w:sz w:val="20"/>
          <w:szCs w:val="20"/>
          <w:color w:val="auto"/>
        </w:rPr>
      </w:pPr>
    </w:p>
    <w:tbl>
      <w:tblPr>
        <w:tblLayout w:type="fixed"/>
        <w:tblInd w:w="668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Andrew W. Houston</w:t>
            </w: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4"/>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2"/>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06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4" w:lineRule="exact"/>
        <w:rPr>
          <w:sz w:val="20"/>
          <w:szCs w:val="20"/>
          <w:color w:val="auto"/>
        </w:rPr>
      </w:pPr>
    </w:p>
    <w:p>
      <w:pPr>
        <w:ind w:left="320" w:hanging="315"/>
        <w:spacing w:after="0"/>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Dropbox, Inc.;</w:t>
      </w:r>
    </w:p>
    <w:p>
      <w:pPr>
        <w:spacing w:after="0" w:line="224" w:lineRule="exact"/>
        <w:rPr>
          <w:rFonts w:ascii="Arial" w:cs="Arial" w:eastAsia="Arial" w:hAnsi="Arial"/>
          <w:sz w:val="17"/>
          <w:szCs w:val="17"/>
          <w:color w:val="auto"/>
        </w:rPr>
      </w:pPr>
    </w:p>
    <w:p>
      <w:pPr>
        <w:ind w:left="320" w:right="260" w:hanging="315"/>
        <w:spacing w:after="0" w:line="360" w:lineRule="auto"/>
        <w:tabs>
          <w:tab w:leader="none" w:pos="3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40" w:hanging="315"/>
        <w:spacing w:after="0" w:line="289" w:lineRule="auto"/>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00" w:hanging="320"/>
        <w:spacing w:after="0" w:line="273" w:lineRule="auto"/>
        <w:tabs>
          <w:tab w:leader="none" w:pos="637"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60" w:hanging="320"/>
        <w:spacing w:after="0" w:line="289" w:lineRule="auto"/>
        <w:tabs>
          <w:tab w:leader="none" w:pos="634" w:val="left"/>
        </w:tabs>
        <w:numPr>
          <w:ilvl w:val="1"/>
          <w:numId w:val="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00" w:hanging="320"/>
        <w:spacing w:after="0" w:line="273" w:lineRule="auto"/>
        <w:tabs>
          <w:tab w:leader="none" w:pos="637"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480" w:hanging="315"/>
        <w:spacing w:after="0" w:line="322" w:lineRule="auto"/>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160" w:hanging="320"/>
        <w:spacing w:after="0" w:line="289" w:lineRule="auto"/>
        <w:tabs>
          <w:tab w:leader="none" w:pos="637"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20" w:hanging="320"/>
        <w:spacing w:after="0" w:line="289" w:lineRule="auto"/>
        <w:tabs>
          <w:tab w:leader="none" w:pos="634"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18, 2022</w:t>
      </w:r>
    </w:p>
    <w:p>
      <w:pPr>
        <w:spacing w:after="0" w:line="26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DROPBOX, INC.</w:t>
      </w:r>
    </w:p>
    <w:p>
      <w:pPr>
        <w:spacing w:after="0" w:line="224" w:lineRule="exact"/>
        <w:rPr>
          <w:sz w:val="20"/>
          <w:szCs w:val="20"/>
          <w:color w:val="auto"/>
        </w:rPr>
      </w:pPr>
    </w:p>
    <w:p>
      <w:pPr>
        <w:ind w:left="4920"/>
        <w:spacing w:after="0"/>
        <w:tabs>
          <w:tab w:leader="none" w:pos="54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17145</wp:posOffset>
            </wp:positionV>
            <wp:extent cx="14154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Name: Timothy J. Regan</w:t>
      </w:r>
    </w:p>
    <w:p>
      <w:pPr>
        <w:spacing w:after="0" w:line="27" w:lineRule="exact"/>
        <w:rPr>
          <w:sz w:val="20"/>
          <w:szCs w:val="20"/>
          <w:color w:val="auto"/>
        </w:rPr>
      </w:pPr>
    </w:p>
    <w:p>
      <w:pPr>
        <w:ind w:left="4920"/>
        <w:spacing w:after="0"/>
        <w:tabs>
          <w:tab w:leader="none" w:pos="54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39" w:lineRule="exact"/>
        <w:rPr>
          <w:sz w:val="20"/>
          <w:szCs w:val="20"/>
          <w:color w:val="auto"/>
        </w:rPr>
      </w:pPr>
    </w:p>
    <w:p>
      <w:pPr>
        <w:ind w:left="5460"/>
        <w:spacing w:after="0"/>
        <w:tabs>
          <w:tab w:leader="none" w:pos="6340" w:val="left"/>
          <w:tab w:leader="none" w:pos="7360" w:val="left"/>
        </w:tabs>
        <w:rPr>
          <w:sz w:val="20"/>
          <w:szCs w:val="20"/>
          <w:color w:val="auto"/>
        </w:rPr>
      </w:pPr>
      <w:r>
        <w:rPr>
          <w:rFonts w:ascii="Arial" w:cs="Arial" w:eastAsia="Arial" w:hAnsi="Arial"/>
          <w:sz w:val="17"/>
          <w:szCs w:val="17"/>
          <w:color w:val="auto"/>
        </w:rPr>
        <w:t>(Principal</w:t>
        <w:tab/>
        <w:t>Accounting</w:t>
      </w:r>
      <w:r>
        <w:rPr>
          <w:sz w:val="20"/>
          <w:szCs w:val="20"/>
          <w:color w:val="auto"/>
        </w:rPr>
        <w:tab/>
      </w:r>
      <w:r>
        <w:rPr>
          <w:rFonts w:ascii="Arial" w:cs="Arial" w:eastAsia="Arial" w:hAnsi="Arial"/>
          <w:sz w:val="15"/>
          <w:szCs w:val="15"/>
          <w:color w:val="auto"/>
        </w:rPr>
        <w:t>and</w:t>
      </w:r>
    </w:p>
    <w:p>
      <w:pPr>
        <w:spacing w:after="0" w:line="1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240"/>
          </w:cols>
          <w:pgMar w:left="320" w:top="1065"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9"/>
          <w:szCs w:val="19"/>
          <w:color w:val="auto"/>
        </w:rPr>
        <w:t>Andrew W. Houston</w:t>
      </w:r>
      <w:r>
        <w:rPr>
          <w:rFonts w:ascii="Arial" w:cs="Arial" w:eastAsia="Arial" w:hAnsi="Arial"/>
          <w:sz w:val="17"/>
          <w:szCs w:val="17"/>
          <w:color w:val="auto"/>
        </w:rPr>
        <w:t xml:space="preserve">, Chief Executive Officer of Dropbox, Inc.. (the “Company”), and </w:t>
      </w:r>
      <w:r>
        <w:rPr>
          <w:rFonts w:ascii="Arial" w:cs="Arial" w:eastAsia="Arial" w:hAnsi="Arial"/>
          <w:sz w:val="19"/>
          <w:szCs w:val="19"/>
          <w:color w:val="auto"/>
        </w:rPr>
        <w:t>Timothy</w:t>
      </w:r>
      <w:r>
        <w:rPr>
          <w:rFonts w:ascii="Arial" w:cs="Arial" w:eastAsia="Arial" w:hAnsi="Arial"/>
          <w:sz w:val="17"/>
          <w:szCs w:val="17"/>
          <w:color w:val="auto"/>
        </w:rPr>
        <w:t xml:space="preserve"> </w:t>
      </w:r>
      <w:r>
        <w:rPr>
          <w:rFonts w:ascii="Arial" w:cs="Arial" w:eastAsia="Arial" w:hAnsi="Arial"/>
          <w:sz w:val="19"/>
          <w:szCs w:val="19"/>
          <w:color w:val="auto"/>
        </w:rPr>
        <w:t>J. Regan</w:t>
      </w:r>
      <w:r>
        <w:rPr>
          <w:rFonts w:ascii="Arial" w:cs="Arial" w:eastAsia="Arial" w:hAnsi="Arial"/>
          <w:sz w:val="17"/>
          <w:szCs w:val="17"/>
          <w:color w:val="auto"/>
        </w:rPr>
        <w:t>, Chief Financial Officer of the Company, each hereby certifies that, to the best of his knowledge:</w:t>
      </w:r>
    </w:p>
    <w:p>
      <w:pPr>
        <w:spacing w:after="0" w:line="199" w:lineRule="exact"/>
        <w:rPr>
          <w:sz w:val="20"/>
          <w:szCs w:val="20"/>
          <w:color w:val="auto"/>
        </w:rPr>
      </w:pPr>
    </w:p>
    <w:p>
      <w:pPr>
        <w:ind w:left="640" w:right="520" w:hanging="320"/>
        <w:spacing w:after="0" w:line="289"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2021, to which this Certification is attached as Exhibit 32.1 (the “Periodic Report”), fully complies with the requirements of Section 13(a) or Section 15(d) of the Exchange Act; and</w:t>
      </w:r>
    </w:p>
    <w:p>
      <w:pPr>
        <w:spacing w:after="0" w:line="53" w:lineRule="exact"/>
        <w:rPr>
          <w:rFonts w:ascii="Arial" w:cs="Arial" w:eastAsia="Arial" w:hAnsi="Arial"/>
          <w:sz w:val="17"/>
          <w:szCs w:val="17"/>
          <w:color w:val="auto"/>
        </w:rPr>
      </w:pPr>
    </w:p>
    <w:p>
      <w:pPr>
        <w:ind w:left="640" w:right="600" w:hanging="320"/>
        <w:spacing w:after="0" w:line="289"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18,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64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Andrew W. Houston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Executive Officer)</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64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Timothy J. Regan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Accounting and Financial Officer)</w:t>
      </w:r>
    </w:p>
    <w:sectPr>
      <w:pgSz w:w="11900" w:h="16838" w:orient="portrait"/>
      <w:cols w:equalWidth="0" w:num="1">
        <w:col w:w="11240"/>
      </w:cols>
      <w:pgMar w:left="320" w:top="10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2"/>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2"/>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decimal"/>
      <w:start w:val="2"/>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2"/>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01"/>
    </w:lvl>
  </w:abstractNum>
  <w:abstractNum w:abstractNumId="45">
    <w:nsid w:val="7E0C57B1"/>
    <w:multiLevelType w:val="hybridMultilevel"/>
    <w:lvl w:ilvl="0">
      <w:lvlJc w:val="left"/>
      <w:lvlText w:val="*"/>
      <w:numFmt w:val="bullet"/>
      <w:start w:val="1"/>
    </w:lvl>
    <w:lvl w:ilvl="1">
      <w:lvlJc w:val="left"/>
      <w:lvlText w:val="%2"/>
      <w:numFmt w:val="decimal"/>
      <w:start w:val="104"/>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lowerRoman"/>
      <w:start w:val="1"/>
    </w:lvl>
    <w:lvl w:ilvl="1">
      <w:lvlJc w:val="left"/>
      <w:lvlText w:val="%2."/>
      <w:numFmt w:val="upperLetter"/>
      <w:start w:val="1"/>
    </w:lvl>
  </w:abstractNum>
  <w:abstractNum w:abstractNumId="49">
    <w:nsid w:val="5FF87E05"/>
    <w:multiLevelType w:val="hybridMultilevel"/>
    <w:lvl w:ilvl="0">
      <w:lvlJc w:val="left"/>
      <w:lvlText w:val="(%1)"/>
      <w:numFmt w:val="lowerRoman"/>
      <w:start w:val="4"/>
    </w:lvl>
    <w:lvl w:ilvl="1">
      <w:lvlJc w:val="left"/>
      <w:lvlText w:val="%2."/>
      <w:numFmt w:val="upperLetter"/>
      <w:start w:val="2"/>
    </w:lvl>
  </w:abstractNum>
  <w:abstractNum w:abstractNumId="50">
    <w:nsid w:val="2F305DEF"/>
    <w:multiLevelType w:val="hybridMultilevel"/>
    <w:lvl w:ilvl="0">
      <w:lvlJc w:val="left"/>
      <w:lvlText w:val="%1"/>
      <w:numFmt w:val="lowerLetter"/>
      <w:start w:val="1"/>
    </w:lvl>
    <w:lvl w:ilvl="1">
      <w:lvlJc w:val="left"/>
      <w:lvlText w:val="%2."/>
      <w:numFmt w:val="decimal"/>
      <w:start w:val="1"/>
    </w:lvl>
  </w:abstractNum>
  <w:abstractNum w:abstractNumId="51">
    <w:nsid w:val="25A70BF7"/>
    <w:multiLevelType w:val="hybridMultilevel"/>
    <w:lvl w:ilvl="0">
      <w:lvlJc w:val="left"/>
      <w:lvlText w:val="(%1)"/>
      <w:numFmt w:val="lowerLetter"/>
      <w:start w:val="26"/>
    </w:lvl>
    <w:lvl w:ilvl="1">
      <w:lvlJc w:val="left"/>
      <w:lvlText w:val="%2"/>
      <w:numFmt w:val="decimal"/>
      <w:start w:val="1"/>
    </w:lvl>
  </w:abstractNum>
  <w:abstractNum w:abstractNumId="52">
    <w:nsid w:val="1DBABF00"/>
    <w:multiLevelType w:val="hybridMultilevel"/>
    <w:lvl w:ilvl="0">
      <w:lvlJc w:val="left"/>
      <w:lvlText w:val="%1."/>
      <w:numFmt w:val="decimal"/>
      <w:start w:val="3"/>
    </w:lvl>
  </w:abstractNum>
  <w:abstractNum w:abstractNumId="53">
    <w:nsid w:val="4AD084E9"/>
    <w:multiLevelType w:val="hybridMultilevel"/>
    <w:lvl w:ilvl="0">
      <w:lvlJc w:val="left"/>
      <w:lvlText w:val="%1."/>
      <w:numFmt w:val="decimal"/>
      <w:start w:val="4"/>
    </w:lvl>
  </w:abstractNum>
  <w:abstractNum w:abstractNumId="54">
    <w:nsid w:val="1F48EAA1"/>
    <w:multiLevelType w:val="hybridMultilevel"/>
    <w:lvl w:ilvl="0">
      <w:lvlJc w:val="left"/>
      <w:lvlText w:val="%1."/>
      <w:numFmt w:val="decimal"/>
      <w:start w:val="7"/>
    </w:lvl>
  </w:abstractNum>
  <w:abstractNum w:abstractNumId="55">
    <w:nsid w:val="1381823A"/>
    <w:multiLevelType w:val="hybridMultilevel"/>
    <w:lvl w:ilvl="0">
      <w:lvlJc w:val="left"/>
      <w:lvlText w:val="%1."/>
      <w:numFmt w:val="decimal"/>
      <w:start w:val="8"/>
    </w:lvl>
  </w:abstractNum>
  <w:abstractNum w:abstractNumId="56">
    <w:nsid w:val="5DB70AE5"/>
    <w:multiLevelType w:val="hybridMultilevel"/>
    <w:lvl w:ilvl="0">
      <w:lvlJc w:val="left"/>
      <w:lvlText w:val="%1."/>
      <w:numFmt w:val="decimal"/>
      <w:start w:val="9"/>
    </w:lvl>
  </w:abstractNum>
  <w:abstractNum w:abstractNumId="57">
    <w:nsid w:val="100F8FCA"/>
    <w:multiLevelType w:val="hybridMultilevel"/>
    <w:lvl w:ilvl="0">
      <w:lvlJc w:val="left"/>
      <w:lvlText w:val="%1."/>
      <w:numFmt w:val="decimal"/>
      <w:start w:val="10"/>
    </w:lvl>
  </w:abstractNum>
  <w:abstractNum w:abstractNumId="58">
    <w:nsid w:val="6590700B"/>
    <w:multiLevelType w:val="hybridMultilevel"/>
    <w:lvl w:ilvl="0">
      <w:lvlJc w:val="left"/>
      <w:lvlText w:val="%1."/>
      <w:numFmt w:val="decimal"/>
      <w:start w:val="11"/>
    </w:lvl>
  </w:abstractNum>
  <w:abstractNum w:abstractNumId="59">
    <w:nsid w:val="15014ACB"/>
    <w:multiLevelType w:val="hybridMultilevel"/>
    <w:lvl w:ilvl="0">
      <w:lvlJc w:val="left"/>
      <w:lvlText w:val="%1."/>
      <w:numFmt w:val="decimal"/>
      <w:start w:val="12"/>
    </w:lvl>
  </w:abstractNum>
  <w:abstractNum w:abstractNumId="60">
    <w:nsid w:val="5F5E7FD0"/>
    <w:multiLevelType w:val="hybridMultilevel"/>
    <w:lvl w:ilvl="0">
      <w:lvlJc w:val="left"/>
      <w:lvlText w:val="%1."/>
      <w:numFmt w:val="decimal"/>
      <w:start w:val="13"/>
    </w:lvl>
    <w:lvl w:ilvl="1">
      <w:lvlJc w:val="left"/>
      <w:lvlText w:val="(%2)"/>
      <w:numFmt w:val="lowerLetter"/>
      <w:start w:val="1"/>
    </w:lvl>
  </w:abstractNum>
  <w:abstractNum w:abstractNumId="61">
    <w:nsid w:val="98A3148"/>
    <w:multiLevelType w:val="hybridMultilevel"/>
    <w:lvl w:ilvl="0">
      <w:lvlJc w:val="left"/>
      <w:lvlText w:val="(%1)"/>
      <w:numFmt w:val="lowerLetter"/>
      <w:start w:val="9"/>
    </w:lvl>
  </w:abstractNum>
  <w:abstractNum w:abstractNumId="62">
    <w:nsid w:val="799D0247"/>
    <w:multiLevelType w:val="hybridMultilevel"/>
    <w:lvl w:ilvl="0">
      <w:lvlJc w:val="left"/>
      <w:lvlText w:val="%1."/>
      <w:numFmt w:val="decimal"/>
      <w:start w:val="14"/>
    </w:lvl>
  </w:abstractNum>
  <w:abstractNum w:abstractNumId="63">
    <w:nsid w:val="6B94764"/>
    <w:multiLevelType w:val="hybridMultilevel"/>
    <w:lvl w:ilvl="0">
      <w:lvlJc w:val="left"/>
      <w:lvlText w:val="%1."/>
      <w:numFmt w:val="decimal"/>
      <w:start w:val="15"/>
    </w:lvl>
    <w:lvl w:ilvl="1">
      <w:lvlJc w:val="left"/>
      <w:lvlText w:val="(%2)"/>
      <w:numFmt w:val="lowerLetter"/>
      <w:start w:val="1"/>
    </w:lvl>
  </w:abstractNum>
  <w:abstractNum w:abstractNumId="64">
    <w:nsid w:val="42C296BD"/>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abstractNum>
  <w:abstractNum w:abstractNumId="65">
    <w:nsid w:val="168E121F"/>
    <w:multiLevelType w:val="hybridMultilevel"/>
    <w:lvl w:ilvl="0">
      <w:lvlJc w:val="left"/>
      <w:lvlText w:val="2"/>
      <w:numFmt w:val="bullet"/>
      <w:start w:val="1"/>
    </w:lvl>
  </w:abstractNum>
  <w:abstractNum w:abstractNumId="66">
    <w:nsid w:val="1EBA5D23"/>
    <w:multiLevelType w:val="hybridMultilevel"/>
    <w:lvl w:ilvl="0">
      <w:lvlJc w:val="left"/>
      <w:lvlText w:val="3"/>
      <w:numFmt w:val="bullet"/>
      <w:start w:val="1"/>
    </w:lvl>
  </w:abstractNum>
  <w:abstractNum w:abstractNumId="67">
    <w:nsid w:val="661E3F1E"/>
    <w:multiLevelType w:val="hybridMultilevel"/>
    <w:lvl w:ilvl="0">
      <w:lvlJc w:val="left"/>
      <w:lvlText w:val="%1"/>
      <w:numFmt w:val="decimal"/>
      <w:start w:val="1"/>
    </w:lvl>
    <w:lvl w:ilvl="1">
      <w:lvlJc w:val="left"/>
      <w:lvlText w:val="(%2)"/>
      <w:numFmt w:val="lowerLetter"/>
      <w:start w:val="2"/>
    </w:lvl>
  </w:abstractNum>
  <w:abstractNum w:abstractNumId="68">
    <w:nsid w:val="5DC79EA8"/>
    <w:multiLevelType w:val="hybridMultilevel"/>
    <w:lvl w:ilvl="0">
      <w:lvlJc w:val="left"/>
      <w:lvlText w:val="%1."/>
      <w:numFmt w:val="decimal"/>
      <w:start w:val="17"/>
    </w:lvl>
    <w:lvl w:ilvl="1">
      <w:lvlJc w:val="left"/>
      <w:lvlText w:val="%2"/>
      <w:numFmt w:val="lowerLetter"/>
      <w:start w:val="1"/>
    </w:lvl>
  </w:abstractNum>
  <w:abstractNum w:abstractNumId="69">
    <w:nsid w:val="540A471C"/>
    <w:multiLevelType w:val="hybridMultilevel"/>
    <w:lvl w:ilvl="0">
      <w:lvlJc w:val="left"/>
      <w:lvlText w:val="(%1)"/>
      <w:numFmt w:val="lowerRoman"/>
      <w:start w:val="2"/>
    </w:lvl>
  </w:abstractNum>
  <w:abstractNum w:abstractNumId="70">
    <w:nsid w:val="7BD3EE7B"/>
    <w:multiLevelType w:val="hybridMultilevel"/>
    <w:lvl w:ilvl="0">
      <w:lvlJc w:val="left"/>
      <w:lvlText w:val="%1."/>
      <w:numFmt w:val="decimal"/>
      <w:start w:val="18"/>
    </w:lvl>
  </w:abstractNum>
  <w:abstractNum w:abstractNumId="71">
    <w:nsid w:val="51D9C564"/>
    <w:multiLevelType w:val="hybridMultilevel"/>
    <w:lvl w:ilvl="0">
      <w:lvlJc w:val="left"/>
      <w:lvlText w:val="%1."/>
      <w:numFmt w:val="decimal"/>
      <w:start w:val="19"/>
    </w:lvl>
  </w:abstractNum>
  <w:abstractNum w:abstractNumId="72">
    <w:nsid w:val="613EFDC5"/>
    <w:multiLevelType w:val="hybridMultilevel"/>
    <w:lvl w:ilvl="0">
      <w:lvlJc w:val="left"/>
      <w:lvlText w:val="%1."/>
      <w:numFmt w:val="decimal"/>
      <w:start w:val="20"/>
    </w:lvl>
  </w:abstractNum>
  <w:abstractNum w:abstractNumId="73">
    <w:nsid w:val="BF72B14"/>
    <w:multiLevelType w:val="hybridMultilevel"/>
    <w:lvl w:ilvl="0">
      <w:lvlJc w:val="left"/>
      <w:lvlText w:val="%1."/>
      <w:numFmt w:val="decimal"/>
      <w:start w:val="21"/>
    </w:lvl>
  </w:abstractNum>
  <w:abstractNum w:abstractNumId="74">
    <w:nsid w:val="11447B73"/>
    <w:multiLevelType w:val="hybridMultilevel"/>
    <w:lvl w:ilvl="0">
      <w:lvlJc w:val="left"/>
      <w:lvlText w:val="%1."/>
      <w:numFmt w:val="decimal"/>
      <w:start w:val="23"/>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0" Type="http://schemas.openxmlformats.org/officeDocument/2006/relationships/image" Target="media/image119.png"/><Relationship Id="rId159"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26" Type="http://schemas.openxmlformats.org/officeDocument/2006/relationships/hyperlink" Target="http://www.sec.gov/Archives/edgar/data/1467623/000146762318000007/exhibit32-q118.htm" TargetMode="External"/><Relationship Id="rId127" Type="http://schemas.openxmlformats.org/officeDocument/2006/relationships/hyperlink" Target="http://www.sec.gov/Archives/edgar/data/1467623/000146762318000007/exhibit33-q118.htm" TargetMode="External"/><Relationship Id="rId128" Type="http://schemas.openxmlformats.org/officeDocument/2006/relationships/hyperlink" Target="http://www.sec.gov/Archives/edgar/data/1467623/000119312518078140/d451946dex41.htm" TargetMode="External"/><Relationship Id="rId129" Type="http://schemas.openxmlformats.org/officeDocument/2006/relationships/hyperlink" Target="http://www.sec.gov/Archives/edgar/data/1467623/000119312518055809/d451946dex42.htm" TargetMode="External"/><Relationship Id="rId130" Type="http://schemas.openxmlformats.org/officeDocument/2006/relationships/hyperlink" Target="http://www.sec.gov/Archives/edgar/data/1467623/000146762318000007/exhibit43-q118.htm" TargetMode="External"/><Relationship Id="rId131" Type="http://schemas.openxmlformats.org/officeDocument/2006/relationships/hyperlink" Target="https://www.sec.gov/Archives/edgar/data/0001467623/000119312521061031/d143086dex41.htm" TargetMode="External"/><Relationship Id="rId132" Type="http://schemas.openxmlformats.org/officeDocument/2006/relationships/hyperlink" Target="https://www.sec.gov/Archives/edgar/data/0001467623/000119312521061031/d143086dex42.htm" TargetMode="External"/><Relationship Id="rId133" Type="http://schemas.openxmlformats.org/officeDocument/2006/relationships/hyperlink" Target="https://www.sec.gov/Archives/edgar/data/1467623/000146762320000033/exhibit41.htm" TargetMode="External"/><Relationship Id="rId134" Type="http://schemas.openxmlformats.org/officeDocument/2006/relationships/hyperlink" Target="http://www.sec.gov/Archives/edgar/data/1467623/000119312518055809/d451946dex101.htm" TargetMode="External"/><Relationship Id="rId135" Type="http://schemas.openxmlformats.org/officeDocument/2006/relationships/hyperlink" Target="https://www.sec.gov/Archives/edgar/data/1467623/000146762321000012/dbx202010-kex102.htm" TargetMode="External"/><Relationship Id="rId136" Type="http://schemas.openxmlformats.org/officeDocument/2006/relationships/hyperlink" Target="http://www.sec.gov/Archives/edgar/data/1467623/000119312518089786/d553522dex103.htm" TargetMode="External"/><Relationship Id="rId137" Type="http://schemas.openxmlformats.org/officeDocument/2006/relationships/hyperlink" Target="http://www.sec.gov/Archives/edgar/data/1467623/000119312518089786/d553522dex104.htm" TargetMode="External"/><Relationship Id="rId138" Type="http://schemas.openxmlformats.org/officeDocument/2006/relationships/hyperlink" Target="http://www.sec.gov/Archives/edgar/data/1467623/000119312518089786/d553522dex105.htm" TargetMode="External"/><Relationship Id="rId139" Type="http://schemas.openxmlformats.org/officeDocument/2006/relationships/hyperlink" Target="http://www.sec.gov/Archives/edgar/data/1467623/000119312518089786/d553522dex106.htm" TargetMode="External"/><Relationship Id="rId141" Type="http://schemas.openxmlformats.org/officeDocument/2006/relationships/hyperlink" Target="http://www.sec.gov/Archives/edgar/data/1467623/000119312518089786/d553522dex107.htm" TargetMode="External"/><Relationship Id="rId142" Type="http://schemas.openxmlformats.org/officeDocument/2006/relationships/hyperlink" Target="https://www.sec.gov/Archives/edgar/data/1467623/000146762321000012/dbx202010-kex108.htm" TargetMode="External"/><Relationship Id="rId143" Type="http://schemas.openxmlformats.org/officeDocument/2006/relationships/hyperlink" Target="http://www.sec.gov/Archives/edgar/data/1467623/000119312518055809/d451946dex109.htm" TargetMode="External"/><Relationship Id="rId144" Type="http://schemas.openxmlformats.org/officeDocument/2006/relationships/hyperlink" Target="https://www.sec.gov/Archives/edgar/data/1467623/000146762320000011/dbx201910-kex1011.htm" TargetMode="External"/><Relationship Id="rId145" Type="http://schemas.openxmlformats.org/officeDocument/2006/relationships/hyperlink" Target="http://www.sec.gov/Archives/edgar/data/1467623/000119312518078140/d451946dex1012.htm" TargetMode="External"/><Relationship Id="rId146" Type="http://schemas.openxmlformats.org/officeDocument/2006/relationships/hyperlink" Target="https://www.sec.gov/Archives/edgar/data/1467623/000146762320000011/dbx201910-kex1014.htm" TargetMode="External"/><Relationship Id="rId147" Type="http://schemas.openxmlformats.org/officeDocument/2006/relationships/hyperlink" Target="https://www.sec.gov/Archives/edgar/data/1467623/000146762320000011/dbx201910-kex1017.htm" TargetMode="External"/><Relationship Id="rId148" Type="http://schemas.openxmlformats.org/officeDocument/2006/relationships/hyperlink" Target="https://www.sec.gov/Archives/edgar/data/1467623/000146762320000033/exhibit101.htm" TargetMode="External"/><Relationship Id="rId149" Type="http://schemas.openxmlformats.org/officeDocument/2006/relationships/hyperlink" Target="https://www.sec.gov/Archives/edgar/data/1467623/000146762320000044/exhibit101.htm" TargetMode="External"/><Relationship Id="rId150" Type="http://schemas.openxmlformats.org/officeDocument/2006/relationships/hyperlink" Target="https://www.sec.gov/Archives/edgar/data/1467623/000146762321000012/dbx202010-kex1016.htm" TargetMode="External"/><Relationship Id="rId151" Type="http://schemas.openxmlformats.org/officeDocument/2006/relationships/hyperlink" Target="http://www.sec.gov/Archives/edgar/data/1467623/000119312518055809/d451946dex1019.htm" TargetMode="External"/><Relationship Id="rId152" Type="http://schemas.openxmlformats.org/officeDocument/2006/relationships/hyperlink" Target="http://www.sec.gov/Archives/edgar/data/1467623/000146762318000014/exhibit102-q218.htm" TargetMode="External"/><Relationship Id="rId153" Type="http://schemas.openxmlformats.org/officeDocument/2006/relationships/hyperlink" Target="https://www.sec.gov/Archives/edgar/data/0001467623/000119312521061031/d143086dex106.htm" TargetMode="External"/><Relationship Id="rId154" Type="http://schemas.openxmlformats.org/officeDocument/2006/relationships/hyperlink" Target="https://www.sec.gov/ix?doc=/Archives/edgar/data/0001467623/000119312521061031/d143086d8k.htm" TargetMode="External"/><Relationship Id="rId155" Type="http://schemas.openxmlformats.org/officeDocument/2006/relationships/hyperlink" Target="https://www.sec.gov/Archives/edgar/data/0001467623/000119312521061031/d143086dex102.htm" TargetMode="External"/><Relationship Id="rId156" Type="http://schemas.openxmlformats.org/officeDocument/2006/relationships/hyperlink" Target="https://www.sec.gov/Archives/edgar/data/0001467623/000119312521061031/d143086dex103.htm" TargetMode="External"/><Relationship Id="rId157" Type="http://schemas.openxmlformats.org/officeDocument/2006/relationships/hyperlink" Target="https://www.sec.gov/Archives/edgar/data/0001467623/000119312521061031/d143086dex104.htm" TargetMode="External"/><Relationship Id="rId158" Type="http://schemas.openxmlformats.org/officeDocument/2006/relationships/hyperlink" Target="https://www.sec.gov/Archives/edgar/data/0001467623/000119312521061031/d143086dex105.htm" TargetMode="External"/><Relationship Id="rId160" Type="http://schemas.openxmlformats.org/officeDocument/2006/relationships/hyperlink" Target="https://www.sec.gov/Archives/edgar/data/1467623/000146762320000011/dbx201910-k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2022-02-18T15:30:00Z</dcterms:created>
  <dcterms:modified xsi:type="dcterms:W3CDTF">2022-02-18T15:30:00Z</dcterms:modified>
</cp:coreProperties>
</file>