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Dropbox,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26210C 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26210C 104</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Andrew W. Houston</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4"/>
          </w:tcPr>
          <w:p>
            <w:pPr>
              <w:ind w:left="6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68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(b)</w:t>
            </w:r>
          </w:p>
        </w:tc>
        <w:tc>
          <w:tcPr>
            <w:tcW w:w="93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w w:val="93"/>
              </w:rPr>
              <w:t>SEC Use Only</w:t>
            </w:r>
          </w:p>
        </w:tc>
        <w:tc>
          <w:tcPr>
            <w:tcW w:w="60" w:type="dxa"/>
            <w:vAlign w:val="bottom"/>
          </w:tcPr>
          <w:p>
            <w:pPr>
              <w:spacing w:after="0"/>
              <w:rPr>
                <w:sz w:val="19"/>
                <w:szCs w:val="19"/>
                <w:color w:val="auto"/>
              </w:rPr>
            </w:pP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6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94,540,375 (See Item 4(a) below)</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86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480" w:type="dxa"/>
            <w:vAlign w:val="bottom"/>
          </w:tcPr>
          <w:p>
            <w:pPr>
              <w:ind w:left="180"/>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26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8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80" w:type="dxa"/>
            <w:vAlign w:val="bottom"/>
          </w:tcPr>
          <w:p>
            <w:pPr>
              <w:ind w:left="180"/>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2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7"/>
              </w:rPr>
              <w:t>Person</w:t>
            </w:r>
          </w:p>
        </w:tc>
        <w:tc>
          <w:tcPr>
            <w:tcW w:w="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93,047,398 (See Item 4(a) below)</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8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480" w:type="dxa"/>
            <w:vAlign w:val="bottom"/>
            <w:vMerge w:val="restart"/>
          </w:tcPr>
          <w:p>
            <w:pPr>
              <w:ind w:left="180"/>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94,540,375 (See Item 4(a) below)</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58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104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80" w:type="dxa"/>
            <w:vAlign w:val="bottom"/>
            <w:tcBorders>
              <w:left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11.</w:t>
            </w:r>
          </w:p>
        </w:tc>
        <w:tc>
          <w:tcPr>
            <w:tcW w:w="104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26.7% (See Item 4(b) below)</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Dropbox, Inc.</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1800 Owens Street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Francisco, CA 94158</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 Name of Person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Andrew W. Houston</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(b) 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Dropbox,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1800 Owens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Francisco, CA 94158</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(c) 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Andrew W. Houston is a United States citizen</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 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A Common Stock, par value $0.00001 per share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(e) 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26210C 104</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980" w:hanging="54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000"/>
        <w:spacing w:after="0" w:line="284" w:lineRule="auto"/>
        <w:rPr>
          <w:rFonts w:ascii="Arial" w:cs="Arial" w:eastAsia="Arial" w:hAnsi="Arial"/>
          <w:sz w:val="18"/>
          <w:szCs w:val="18"/>
          <w:color w:val="auto"/>
        </w:rPr>
      </w:pPr>
      <w:r>
        <w:rPr>
          <w:rFonts w:ascii="Arial" w:cs="Arial" w:eastAsia="Arial" w:hAnsi="Arial"/>
          <w:sz w:val="16"/>
          <w:szCs w:val="16"/>
          <w:color w:val="auto"/>
        </w:rPr>
        <w:t>As of December 31, 2019, (i) 10,333,333 shares of Class A Common Stock were held of record by Andrew W. Houston, (ii) 500,000 shares of Class A Common Stock were held of record by Andrew Houston Revocable Trust u/a/d 9/7/2011, (iii) 716,728 shares of Class A Common Stock and 7,893,764 shares of Class B Common Stock were held of record by the Houston Remainder Trust dated 12/30/2010, for which Mr. Houston serves as trustee, (iv) 73,103,073 shares of Class B Common Stock were held of record by the Andrew W. Houston Revocable Trust dated 9/7/2011, for which Mr. Houston serves as trustee, and (v) 500,500 shares of Class B Common Stock were held of record by the Houston 2012 Irrevocable Children’s Trust dated 4/12/2012, for which Mr. Houston serves as trustee. In addition,</w:t>
      </w:r>
    </w:p>
    <w:p>
      <w:pPr>
        <w:spacing w:after="0" w:line="4" w:lineRule="exact"/>
        <w:rPr>
          <w:rFonts w:ascii="Arial" w:cs="Arial" w:eastAsia="Arial" w:hAnsi="Arial"/>
          <w:sz w:val="18"/>
          <w:szCs w:val="18"/>
          <w:color w:val="auto"/>
        </w:rPr>
      </w:pPr>
    </w:p>
    <w:p>
      <w:pPr>
        <w:ind w:left="1000" w:right="260"/>
        <w:spacing w:after="0" w:line="255" w:lineRule="auto"/>
        <w:rPr>
          <w:rFonts w:ascii="Arial" w:cs="Arial" w:eastAsia="Arial" w:hAnsi="Arial"/>
          <w:sz w:val="18"/>
          <w:szCs w:val="18"/>
          <w:color w:val="auto"/>
        </w:rPr>
      </w:pPr>
      <w:r>
        <w:rPr>
          <w:rFonts w:ascii="Arial" w:cs="Arial" w:eastAsia="Arial" w:hAnsi="Arial"/>
          <w:sz w:val="18"/>
          <w:szCs w:val="18"/>
          <w:color w:val="auto"/>
        </w:rPr>
        <w:t>Mr. Houston has voting power over 96,400 shares of Class A Common Stock and 1,396,577 shares of Class B Common Stock held by other stockholders, over which, under all but certain limited circumstances, Mr. Houston holds an irrevocable proxy, pursuant to voting agreements between Mr. Houston and such stockholders.</w:t>
      </w:r>
    </w:p>
    <w:p>
      <w:pPr>
        <w:sectPr>
          <w:pgSz w:w="11900" w:h="16838" w:orient="portrait"/>
          <w:cols w:equalWidth="0" w:num="1">
            <w:col w:w="10980"/>
          </w:cols>
          <w:pgMar w:left="440" w:top="270" w:right="479" w:bottom="1440" w:gutter="0" w:footer="0" w:header="0"/>
        </w:sectPr>
      </w:pPr>
    </w:p>
    <w:bookmarkStart w:id="3" w:name="page4"/>
    <w:bookmarkEnd w:id="3"/>
    <w:p>
      <w:pPr>
        <w:ind w:left="100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share of Class B Common Stock is convertible into one share of Class A Common Stock at the option of the holder and has no expiration date. Each share of Class B Common Stock is entitled to ten votes per share, whereas each share of Class A Common Stock is entitled to one vote per share. The rights of the holders of Class A Common Stock and Class B Common Stock are identical, except with respect to the aforementioned conversion rights and voting rights.</w:t>
      </w:r>
    </w:p>
    <w:p>
      <w:pPr>
        <w:spacing w:after="0" w:line="214" w:lineRule="exact"/>
        <w:rPr>
          <w:sz w:val="20"/>
          <w:szCs w:val="20"/>
          <w:color w:val="auto"/>
        </w:rPr>
      </w:pPr>
    </w:p>
    <w:p>
      <w:pPr>
        <w:ind w:left="980" w:hanging="54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26.7%</w:t>
      </w:r>
    </w:p>
    <w:p>
      <w:pPr>
        <w:spacing w:after="0" w:line="117" w:lineRule="exact"/>
        <w:rPr>
          <w:rFonts w:ascii="Arial" w:cs="Arial" w:eastAsia="Arial" w:hAnsi="Arial"/>
          <w:sz w:val="18"/>
          <w:szCs w:val="18"/>
          <w:color w:val="auto"/>
        </w:rPr>
      </w:pPr>
    </w:p>
    <w:p>
      <w:pPr>
        <w:ind w:left="1000"/>
        <w:spacing w:after="0" w:line="302" w:lineRule="auto"/>
        <w:rPr>
          <w:rFonts w:ascii="Arial" w:cs="Arial" w:eastAsia="Arial" w:hAnsi="Arial"/>
          <w:sz w:val="18"/>
          <w:szCs w:val="18"/>
          <w:color w:val="auto"/>
        </w:rPr>
      </w:pPr>
      <w:r>
        <w:rPr>
          <w:rFonts w:ascii="Arial" w:cs="Arial" w:eastAsia="Arial" w:hAnsi="Arial"/>
          <w:sz w:val="16"/>
          <w:szCs w:val="16"/>
          <w:color w:val="auto"/>
        </w:rPr>
        <w:t>The ownership percentage above is calculated based on 270,779,612 shares of Class A Common Stock outstanding as of November 4, 2019, as reported in the Issuer’s Form 10-Q filed with the Securities and Exchange Commission on November 8, 2019, but including restricted stock awards subject to vesting as such shares are entitled to vote, plus the assumed conversion of 82,893,914 shares of Class B Common Stock deemed beneficially owned by Mr. Houston, as described herein, into shares of Class A Common Stock.</w:t>
      </w:r>
    </w:p>
    <w:p>
      <w:pPr>
        <w:spacing w:after="0" w:line="59" w:lineRule="exact"/>
        <w:rPr>
          <w:rFonts w:ascii="Arial" w:cs="Arial" w:eastAsia="Arial" w:hAnsi="Arial"/>
          <w:sz w:val="18"/>
          <w:szCs w:val="18"/>
          <w:color w:val="auto"/>
        </w:rPr>
      </w:pPr>
    </w:p>
    <w:p>
      <w:pPr>
        <w:ind w:left="980" w:hanging="54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220" w:hanging="224"/>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direct the vote: 94,540,375 shares</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direct the vote: 0 shares</w:t>
      </w:r>
    </w:p>
    <w:p>
      <w:pPr>
        <w:spacing w:after="0" w:line="117" w:lineRule="exact"/>
        <w:rPr>
          <w:rFonts w:ascii="Arial" w:cs="Arial" w:eastAsia="Arial" w:hAnsi="Arial"/>
          <w:sz w:val="18"/>
          <w:szCs w:val="18"/>
          <w:color w:val="auto"/>
        </w:rPr>
      </w:pPr>
    </w:p>
    <w:p>
      <w:pPr>
        <w:ind w:left="1320" w:hanging="324"/>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93,047,398 shares</w:t>
      </w:r>
    </w:p>
    <w:p>
      <w:pPr>
        <w:spacing w:after="0" w:line="117" w:lineRule="exact"/>
        <w:rPr>
          <w:rFonts w:ascii="Arial" w:cs="Arial" w:eastAsia="Arial" w:hAnsi="Arial"/>
          <w:sz w:val="18"/>
          <w:szCs w:val="18"/>
          <w:color w:val="auto"/>
        </w:rPr>
      </w:pPr>
    </w:p>
    <w:p>
      <w:pPr>
        <w:ind w:left="1300" w:hanging="30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56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00"/>
          </w:cols>
          <w:pgMar w:left="440" w:top="274" w:right="5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14,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Andrew W. Houston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2020-02-14T14:43:50Z</dcterms:created>
  <dcterms:modified xsi:type="dcterms:W3CDTF">2020-02-14T14:43:50Z</dcterms:modified>
</cp:coreProperties>
</file>