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2693035</wp:posOffset>
            </wp:positionH>
            <wp:positionV relativeFrom="paragraph">
              <wp:posOffset>189230</wp:posOffset>
            </wp:positionV>
            <wp:extent cx="1757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2693035</wp:posOffset>
            </wp:positionH>
            <wp:positionV relativeFrom="paragraph">
              <wp:posOffset>200660</wp:posOffset>
            </wp:positionV>
            <wp:extent cx="1757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5" w:lineRule="exact"/>
        <w:rPr>
          <w:sz w:val="24"/>
          <w:szCs w:val="24"/>
          <w:color w:val="auto"/>
        </w:rPr>
      </w:pPr>
    </w:p>
    <w:p>
      <w:pPr>
        <w:ind w:left="4100" w:right="2420" w:hanging="4098"/>
        <w:spacing w:after="0" w:line="263" w:lineRule="auto"/>
        <w:tabs>
          <w:tab w:leader="none" w:pos="194"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For the quarterly period ended June 30, 2020</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9" w:lineRule="exact"/>
        <w:rPr>
          <w:sz w:val="24"/>
          <w:szCs w:val="24"/>
          <w:color w:val="auto"/>
        </w:rPr>
      </w:pPr>
    </w:p>
    <w:p>
      <w:pPr>
        <w:ind w:left="3780" w:right="2420" w:hanging="3778"/>
        <w:spacing w:after="0" w:line="263" w:lineRule="auto"/>
        <w:tabs>
          <w:tab w:leader="none" w:pos="192"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from________to________</w:t>
      </w:r>
    </w:p>
    <w:p>
      <w:pPr>
        <w:spacing w:after="0" w:line="169" w:lineRule="exact"/>
        <w:rPr>
          <w:sz w:val="24"/>
          <w:szCs w:val="24"/>
          <w:color w:val="auto"/>
        </w:rPr>
      </w:pPr>
    </w:p>
    <w:tbl>
      <w:tblPr>
        <w:tblLayout w:type="fixed"/>
        <w:tblInd w:w="560" w:type="dxa"/>
        <w:tblCellMar>
          <w:top w:w="0" w:type="dxa"/>
          <w:left w:w="0" w:type="dxa"/>
          <w:bottom w:w="0" w:type="dxa"/>
          <w:right w:w="0" w:type="dxa"/>
        </w:tblCellMar>
      </w:tblPr>
      <w:tr>
        <w:trPr>
          <w:trHeight w:val="219"/>
        </w:trPr>
        <w:tc>
          <w:tcPr>
            <w:tcW w:w="2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20" w:type="dxa"/>
            <w:vAlign w:val="bottom"/>
            <w:gridSpan w:val="2"/>
          </w:tcPr>
          <w:p>
            <w:pPr>
              <w:jc w:val="center"/>
              <w:ind w:right="3552"/>
              <w:spacing w:after="0"/>
              <w:rPr>
                <w:sz w:val="20"/>
                <w:szCs w:val="20"/>
                <w:color w:val="auto"/>
              </w:rPr>
            </w:pPr>
            <w:r>
              <w:rPr>
                <w:rFonts w:ascii="Arial" w:cs="Arial" w:eastAsia="Arial" w:hAnsi="Arial"/>
                <w:sz w:val="17"/>
                <w:szCs w:val="17"/>
                <w:b w:val="1"/>
                <w:bCs w:val="1"/>
                <w:color w:val="auto"/>
                <w:w w:val="90"/>
              </w:rPr>
              <w:t>Commission File Number 001-38434</w:t>
            </w:r>
          </w:p>
        </w:tc>
      </w:tr>
      <w:tr>
        <w:trPr>
          <w:trHeight w:val="445"/>
        </w:trPr>
        <w:tc>
          <w:tcPr>
            <w:tcW w:w="27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493"/>
        </w:trPr>
        <w:tc>
          <w:tcPr>
            <w:tcW w:w="2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gridSpan w:val="2"/>
          </w:tcPr>
          <w:p>
            <w:pPr>
              <w:jc w:val="center"/>
              <w:ind w:right="3572"/>
              <w:spacing w:after="0"/>
              <w:rPr>
                <w:sz w:val="20"/>
                <w:szCs w:val="20"/>
                <w:color w:val="auto"/>
              </w:rPr>
            </w:pPr>
            <w:r>
              <w:rPr>
                <w:rFonts w:ascii="Arial" w:cs="Arial" w:eastAsia="Arial" w:hAnsi="Arial"/>
                <w:sz w:val="34"/>
                <w:szCs w:val="34"/>
                <w:b w:val="1"/>
                <w:bCs w:val="1"/>
                <w:color w:val="auto"/>
                <w:w w:val="92"/>
              </w:rPr>
              <w:t>Dropbox, Inc.</w:t>
            </w:r>
          </w:p>
        </w:tc>
      </w:tr>
      <w:tr>
        <w:trPr>
          <w:trHeight w:val="175"/>
        </w:trPr>
        <w:tc>
          <w:tcPr>
            <w:tcW w:w="2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720" w:type="dxa"/>
            <w:vAlign w:val="bottom"/>
            <w:gridSpan w:val="2"/>
          </w:tcPr>
          <w:p>
            <w:pPr>
              <w:jc w:val="center"/>
              <w:ind w:right="35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39"/>
        </w:trPr>
        <w:tc>
          <w:tcPr>
            <w:tcW w:w="27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2840" w:type="dxa"/>
            <w:vAlign w:val="bottom"/>
          </w:tcPr>
          <w:p>
            <w:pPr>
              <w:spacing w:after="0"/>
              <w:rPr>
                <w:sz w:val="20"/>
                <w:szCs w:val="20"/>
                <w:color w:val="auto"/>
              </w:rPr>
            </w:pPr>
          </w:p>
        </w:tc>
      </w:tr>
      <w:tr>
        <w:trPr>
          <w:trHeight w:val="299"/>
        </w:trPr>
        <w:tc>
          <w:tcPr>
            <w:tcW w:w="3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Delaware</w:t>
            </w:r>
          </w:p>
        </w:tc>
        <w:tc>
          <w:tcPr>
            <w:tcW w:w="6720" w:type="dxa"/>
            <w:vAlign w:val="bottom"/>
            <w:gridSpan w:val="2"/>
          </w:tcPr>
          <w:p>
            <w:pPr>
              <w:jc w:val="right"/>
              <w:ind w:right="792"/>
              <w:spacing w:after="0"/>
              <w:rPr>
                <w:sz w:val="20"/>
                <w:szCs w:val="20"/>
                <w:color w:val="auto"/>
              </w:rPr>
            </w:pPr>
            <w:r>
              <w:rPr>
                <w:rFonts w:ascii="Arial" w:cs="Arial" w:eastAsia="Arial" w:hAnsi="Arial"/>
                <w:sz w:val="14"/>
                <w:szCs w:val="14"/>
                <w:b w:val="1"/>
                <w:bCs w:val="1"/>
                <w:color w:val="auto"/>
              </w:rPr>
              <w:t>26-0138832</w:t>
            </w:r>
          </w:p>
        </w:tc>
      </w:tr>
      <w:tr>
        <w:trPr>
          <w:trHeight w:val="317"/>
        </w:trPr>
        <w:tc>
          <w:tcPr>
            <w:tcW w:w="3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880" w:type="dxa"/>
            <w:vAlign w:val="bottom"/>
          </w:tcPr>
          <w:p>
            <w:pPr>
              <w:spacing w:after="0"/>
              <w:rPr>
                <w:sz w:val="24"/>
                <w:szCs w:val="24"/>
                <w:color w:val="auto"/>
              </w:rPr>
            </w:pPr>
          </w:p>
        </w:tc>
        <w:tc>
          <w:tcPr>
            <w:tcW w:w="2840" w:type="dxa"/>
            <w:vAlign w:val="bottom"/>
          </w:tcPr>
          <w:p>
            <w:pPr>
              <w:jc w:val="center"/>
              <w:ind w:left="412"/>
              <w:spacing w:after="0"/>
              <w:rPr>
                <w:sz w:val="20"/>
                <w:szCs w:val="20"/>
                <w:color w:val="auto"/>
              </w:rPr>
            </w:pPr>
            <w:r>
              <w:rPr>
                <w:rFonts w:ascii="Arial" w:cs="Arial" w:eastAsia="Arial" w:hAnsi="Arial"/>
                <w:sz w:val="14"/>
                <w:szCs w:val="14"/>
                <w:b w:val="1"/>
                <w:bCs w:val="1"/>
                <w:color w:val="auto"/>
                <w:w w:val="90"/>
              </w:rPr>
              <w:t>(I.R.S. Employer Identification Number)</w:t>
            </w:r>
          </w:p>
        </w:tc>
      </w:tr>
    </w:tbl>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2088515</wp:posOffset>
            </wp:positionH>
            <wp:positionV relativeFrom="paragraph">
              <wp:posOffset>-121285</wp:posOffset>
            </wp:positionV>
            <wp:extent cx="2966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1800 Owens Street</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San Francisco, California 94158</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(415) 857-6800</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2088515</wp:posOffset>
            </wp:positionH>
            <wp:positionV relativeFrom="paragraph">
              <wp:posOffset>158750</wp:posOffset>
            </wp:positionV>
            <wp:extent cx="2966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444500</wp:posOffset>
            </wp:positionH>
            <wp:positionV relativeFrom="paragraph">
              <wp:posOffset>215900</wp:posOffset>
            </wp:positionV>
            <wp:extent cx="6262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6237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tbl>
      <w:tblPr>
        <w:tblLayout w:type="fixed"/>
        <w:tblInd w:w="92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62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w w:val="82"/>
              </w:rPr>
              <w:t>Title of each class</w:t>
            </w:r>
          </w:p>
        </w:tc>
        <w:tc>
          <w:tcPr>
            <w:tcW w:w="332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7"/>
              </w:rPr>
              <w:t>Trading Symbol(s)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exchange on which registered</w:t>
            </w:r>
          </w:p>
        </w:tc>
      </w:tr>
      <w:tr>
        <w:trPr>
          <w:trHeight w:val="20"/>
        </w:trPr>
        <w:tc>
          <w:tcPr>
            <w:tcW w:w="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198"/>
        </w:trPr>
        <w:tc>
          <w:tcPr>
            <w:tcW w:w="3580" w:type="dxa"/>
            <w:vAlign w:val="bottom"/>
            <w:gridSpan w:val="3"/>
          </w:tcPr>
          <w:p>
            <w:pPr>
              <w:jc w:val="center"/>
              <w:ind w:right="640"/>
              <w:spacing w:after="0"/>
              <w:rPr>
                <w:sz w:val="20"/>
                <w:szCs w:val="20"/>
                <w:color w:val="auto"/>
              </w:rPr>
            </w:pPr>
            <w:r>
              <w:rPr>
                <w:rFonts w:ascii="Arial" w:cs="Arial" w:eastAsia="Arial" w:hAnsi="Arial"/>
                <w:sz w:val="14"/>
                <w:szCs w:val="14"/>
                <w:color w:val="auto"/>
                <w:w w:val="86"/>
              </w:rPr>
              <w:t>Class A Common Stock, par value $0.00001 per share</w:t>
            </w:r>
          </w:p>
        </w:tc>
        <w:tc>
          <w:tcPr>
            <w:tcW w:w="640" w:type="dxa"/>
            <w:vAlign w:val="bottom"/>
          </w:tcPr>
          <w:p>
            <w:pPr>
              <w:spacing w:after="0"/>
              <w:rPr>
                <w:sz w:val="17"/>
                <w:szCs w:val="17"/>
                <w:color w:val="auto"/>
              </w:rPr>
            </w:pP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220" w:type="dxa"/>
            <w:vAlign w:val="bottom"/>
          </w:tcPr>
          <w:p>
            <w:pPr>
              <w:jc w:val="center"/>
              <w:spacing w:after="0"/>
              <w:rPr>
                <w:sz w:val="20"/>
                <w:szCs w:val="20"/>
                <w:color w:val="auto"/>
              </w:rPr>
            </w:pPr>
            <w:r>
              <w:rPr>
                <w:rFonts w:ascii="Arial" w:cs="Arial" w:eastAsia="Arial" w:hAnsi="Arial"/>
                <w:sz w:val="14"/>
                <w:szCs w:val="14"/>
                <w:color w:val="auto"/>
                <w:w w:val="91"/>
              </w:rPr>
              <w:t>The NASDAQ Stock Market LLC</w:t>
            </w:r>
          </w:p>
        </w:tc>
      </w:tr>
      <w:tr>
        <w:trPr>
          <w:trHeight w:val="317"/>
        </w:trPr>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87"/>
              </w:rPr>
              <w:t>(Nasdaq Global Select Market)</w:t>
            </w:r>
          </w:p>
        </w:tc>
      </w:tr>
    </w:tbl>
    <w:p>
      <w:pPr>
        <w:spacing w:after="0" w:line="259" w:lineRule="exact"/>
        <w:rPr>
          <w:sz w:val="24"/>
          <w:szCs w:val="24"/>
          <w:color w:val="auto"/>
        </w:rPr>
      </w:pPr>
    </w:p>
    <w:p>
      <w:pPr>
        <w:ind w:right="280" w:firstLine="305"/>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6" w:lineRule="exact"/>
        <w:rPr>
          <w:sz w:val="24"/>
          <w:szCs w:val="24"/>
          <w:color w:val="auto"/>
        </w:rPr>
      </w:pPr>
    </w:p>
    <w:p>
      <w:pPr>
        <w:ind w:right="60" w:firstLine="305"/>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6" w:lineRule="exact"/>
        <w:rPr>
          <w:sz w:val="24"/>
          <w:szCs w:val="24"/>
          <w:color w:val="auto"/>
        </w:rPr>
      </w:pPr>
    </w:p>
    <w:p>
      <w:pPr>
        <w:ind w:firstLine="305"/>
        <w:spacing w:after="0" w:line="324"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14"/>
        </w:trPr>
        <w:tc>
          <w:tcPr>
            <w:tcW w:w="3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2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2160" w:type="dxa"/>
            <w:vAlign w:val="bottom"/>
          </w:tcPr>
          <w:p>
            <w:pPr>
              <w:ind w:left="20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368"/>
        </w:trPr>
        <w:tc>
          <w:tcPr>
            <w:tcW w:w="312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222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vMerge w:val="restart"/>
          </w:tcPr>
          <w:p>
            <w:pPr>
              <w:ind w:left="200"/>
              <w:spacing w:after="0"/>
              <w:rPr>
                <w:sz w:val="20"/>
                <w:szCs w:val="20"/>
                <w:color w:val="auto"/>
              </w:rPr>
            </w:pPr>
            <w:r>
              <w:rPr>
                <w:rFonts w:ascii="Arial" w:cs="Arial" w:eastAsia="Arial" w:hAnsi="Arial"/>
                <w:sz w:val="14"/>
                <w:szCs w:val="14"/>
                <w:color w:val="auto"/>
              </w:rPr>
              <w:t>Smaller reporting company</w:t>
            </w:r>
          </w:p>
        </w:tc>
        <w:tc>
          <w:tcPr>
            <w:tcW w:w="2160" w:type="dxa"/>
            <w:vAlign w:val="bottom"/>
            <w:vMerge w:val="restart"/>
          </w:tcPr>
          <w:p>
            <w:pPr>
              <w:ind w:left="20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40"/>
        </w:trPr>
        <w:tc>
          <w:tcPr>
            <w:tcW w:w="31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6"/>
        </w:trPr>
        <w:tc>
          <w:tcPr>
            <w:tcW w:w="3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Emerging growth company</w:t>
            </w:r>
          </w:p>
        </w:tc>
        <w:tc>
          <w:tcPr>
            <w:tcW w:w="2160" w:type="dxa"/>
            <w:vAlign w:val="bottom"/>
          </w:tcPr>
          <w:p>
            <w:pPr>
              <w:ind w:left="20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192" w:lineRule="exact"/>
        <w:rPr>
          <w:sz w:val="24"/>
          <w:szCs w:val="24"/>
          <w:color w:val="auto"/>
        </w:rPr>
      </w:pPr>
    </w:p>
    <w:p>
      <w:pPr>
        <w:ind w:right="140"/>
        <w:spacing w:after="0" w:line="17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9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9" w:lineRule="exact"/>
        <w:rPr>
          <w:sz w:val="24"/>
          <w:szCs w:val="24"/>
          <w:color w:val="auto"/>
        </w:rPr>
      </w:pPr>
    </w:p>
    <w:p>
      <w:pPr>
        <w:spacing w:after="0" w:line="234" w:lineRule="auto"/>
        <w:rPr>
          <w:sz w:val="20"/>
          <w:szCs w:val="20"/>
          <w:color w:val="auto"/>
        </w:rPr>
      </w:pPr>
      <w:r>
        <w:rPr>
          <w:rFonts w:ascii="Arial" w:cs="Arial" w:eastAsia="Arial" w:hAnsi="Arial"/>
          <w:sz w:val="14"/>
          <w:szCs w:val="14"/>
          <w:color w:val="auto"/>
        </w:rPr>
        <w:t>As of August 3, 2020, there were were 315,506,884 shares of the registrants’ Class A common stock outstanding (which excludes 10,333,333 shares of Class A common stock subject to restricted stock awards that were granted pursuant to the Co-Founder Grants, and vest upon the satisfaction of a service condition and achievement of certain stock price goals and 4,090,778 shares of Class A common stock subject to restricted stock awards that were granted to other Dropbox executives and vest upon the satisfaction of a service condition), 97,854,524 shares of the registrant’s Class B common stock outstanding, and no shares of the registrant’s Class C common stock outstanding.</w:t>
      </w:r>
    </w:p>
    <w:p>
      <w:pPr>
        <w:sectPr>
          <w:pgSz w:w="11900" w:h="16838" w:orient="portrait"/>
          <w:cols w:equalWidth="0" w:num="1">
            <w:col w:w="11220"/>
          </w:cols>
          <w:pgMar w:left="320" w:top="225" w:right="35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91" w:lineRule="exact"/>
        <w:rPr>
          <w:sz w:val="20"/>
          <w:szCs w:val="20"/>
          <w:color w:val="auto"/>
        </w:rPr>
      </w:pPr>
    </w:p>
    <w:p>
      <w:pPr>
        <w:ind w:firstLine="381"/>
        <w:spacing w:after="0" w:line="272"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70" w:lineRule="exact"/>
        <w:rPr>
          <w:sz w:val="20"/>
          <w:szCs w:val="20"/>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attract new users or convert registered users to paying users;</w:t>
      </w:r>
    </w:p>
    <w:p>
      <w:pPr>
        <w:spacing w:after="0" w:line="210" w:lineRule="exact"/>
        <w:rPr>
          <w:rFonts w:ascii="Arial" w:cs="Arial" w:eastAsia="Arial" w:hAnsi="Arial"/>
          <w:sz w:val="17"/>
          <w:szCs w:val="17"/>
          <w:color w:val="auto"/>
        </w:rPr>
      </w:pPr>
    </w:p>
    <w:p>
      <w:pPr>
        <w:ind w:left="680" w:right="320" w:hanging="298"/>
        <w:spacing w:after="0" w:line="272" w:lineRule="auto"/>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trends in revenue, costs of revenue, gross profit or gross margin, operating expenses, paying users, and free cash flow;</w:t>
      </w:r>
    </w:p>
    <w:p>
      <w:pPr>
        <w:spacing w:after="0" w:line="166" w:lineRule="exact"/>
        <w:rPr>
          <w:rFonts w:ascii="Arial" w:cs="Arial" w:eastAsia="Arial" w:hAnsi="Arial"/>
          <w:sz w:val="17"/>
          <w:szCs w:val="17"/>
          <w:color w:val="auto"/>
        </w:rPr>
      </w:pPr>
    </w:p>
    <w:p>
      <w:pPr>
        <w:ind w:left="680" w:right="540" w:hanging="310"/>
        <w:spacing w:after="0" w:line="272"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impacts of the outbreak of the COVID-19 pandemic and related public health measures on our business, the business of our customers, suppliers and partners, and the economy;</w:t>
      </w:r>
    </w:p>
    <w:p>
      <w:pPr>
        <w:spacing w:after="0" w:line="166"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demand for our platform or for content collaboration solutions in general;</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possible harm caused by significant disruption of service or loss or unauthorized access to users’ content;</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effectively integrate our platform with others;</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respond to rapid technological changes;</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achieve or maintain profitability;</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expectations and management of future growth;</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grow due to our lack of a significant outbound sales force;</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attract large organizations as users;</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offer high-quality customer support;</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manage our international expansion;</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attract and retain key personnel and highly qualified personnel;</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expected timing and amount of our share repurchases;</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protect our brand;</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prevent serious errors or defects in our platform;</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 and</w:t>
      </w:r>
    </w:p>
    <w:p>
      <w:pPr>
        <w:spacing w:after="0" w:line="210" w:lineRule="exact"/>
        <w:rPr>
          <w:rFonts w:ascii="Arial" w:cs="Arial" w:eastAsia="Arial" w:hAnsi="Arial"/>
          <w:sz w:val="17"/>
          <w:szCs w:val="17"/>
          <w:color w:val="auto"/>
        </w:rPr>
      </w:pPr>
    </w:p>
    <w:p>
      <w:pPr>
        <w:ind w:left="680" w:hanging="298"/>
        <w:spacing w:after="0"/>
        <w:tabs>
          <w:tab w:leader="none" w:pos="6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successfully identify, acquire, and integrate companies and assets.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23" w:right="3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firstLine="406"/>
        <w:spacing w:after="0" w:line="252"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6" w:lineRule="exact"/>
        <w:rPr>
          <w:sz w:val="20"/>
          <w:szCs w:val="20"/>
          <w:color w:val="auto"/>
        </w:rPr>
      </w:pPr>
    </w:p>
    <w:p>
      <w:pPr>
        <w:ind w:firstLine="406"/>
        <w:spacing w:after="0" w:line="297" w:lineRule="auto"/>
        <w:rPr>
          <w:sz w:val="20"/>
          <w:szCs w:val="20"/>
          <w:color w:val="auto"/>
        </w:rPr>
      </w:pPr>
      <w:r>
        <w:rPr>
          <w:rFonts w:ascii="Arial" w:cs="Arial" w:eastAsia="Arial" w:hAnsi="Arial"/>
          <w:sz w:val="15"/>
          <w:szCs w:val="15"/>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23"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jc w:val="center"/>
        <w:ind w:left="106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2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PART I. FINANCIAL INFORMATION</w:t>
        </w:r>
      </w:hyperlink>
    </w:p>
    <w:p>
      <w:pPr>
        <w:spacing w:after="0" w:line="81" w:lineRule="exact"/>
        <w:rPr>
          <w:sz w:val="20"/>
          <w:szCs w:val="20"/>
          <w:color w:val="auto"/>
        </w:rPr>
      </w:pPr>
    </w:p>
    <w:p>
      <w:pPr>
        <w:ind w:left="20"/>
        <w:spacing w:after="0"/>
        <w:tabs>
          <w:tab w:leader="none" w:pos="1020" w:val="left"/>
        </w:tabs>
        <w:rPr>
          <w:rFonts w:ascii="Arial" w:cs="Arial" w:eastAsia="Arial" w:hAnsi="Arial"/>
          <w:sz w:val="13"/>
          <w:szCs w:val="13"/>
          <w:u w:val="single" w:color="auto"/>
          <w:color w:val="0000EE"/>
        </w:rPr>
      </w:pPr>
      <w:r>
        <w:rPr>
          <w:rFonts w:ascii="Arial" w:cs="Arial" w:eastAsia="Arial" w:hAnsi="Arial"/>
          <w:sz w:val="15"/>
          <w:szCs w:val="15"/>
          <w:color w:val="auto"/>
        </w:rPr>
        <w:t>Item 1.</w:t>
      </w:r>
      <w:r>
        <w:rPr>
          <w:sz w:val="20"/>
          <w:szCs w:val="20"/>
          <w:color w:val="auto"/>
        </w:rPr>
        <w:tab/>
      </w:r>
      <w:hyperlink w:anchor="page5">
        <w:r>
          <w:rPr>
            <w:rFonts w:ascii="Arial" w:cs="Arial" w:eastAsia="Arial" w:hAnsi="Arial"/>
            <w:sz w:val="13"/>
            <w:szCs w:val="13"/>
            <w:u w:val="single" w:color="auto"/>
            <w:color w:val="0000EE"/>
          </w:rPr>
          <w:t>Condensed Consolidated Financial Statements (Unaudited)</w:t>
        </w:r>
      </w:hyperlink>
    </w:p>
    <w:p>
      <w:pPr>
        <w:spacing w:after="0" w:line="69" w:lineRule="exact"/>
        <w:rPr>
          <w:sz w:val="20"/>
          <w:szCs w:val="20"/>
          <w:color w:val="auto"/>
        </w:rPr>
      </w:pPr>
    </w:p>
    <w:p>
      <w:pPr>
        <w:ind w:left="104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Condensed Consolidated Balance Sheets as of June 30, 2020 and December 31, 2019</w:t>
        </w:r>
      </w:hyperlink>
    </w:p>
    <w:p>
      <w:pPr>
        <w:spacing w:after="0" w:line="81" w:lineRule="exact"/>
        <w:rPr>
          <w:sz w:val="20"/>
          <w:szCs w:val="20"/>
          <w:color w:val="auto"/>
        </w:rPr>
      </w:pPr>
    </w:p>
    <w:p>
      <w:pPr>
        <w:ind w:left="1040"/>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Condensed Consolidated Statements of Operations for the Three and Six Months Ended June 30, 2020 and 2019</w:t>
        </w:r>
      </w:hyperlink>
    </w:p>
    <w:p>
      <w:pPr>
        <w:spacing w:after="0" w:line="81" w:lineRule="exact"/>
        <w:rPr>
          <w:sz w:val="20"/>
          <w:szCs w:val="20"/>
          <w:color w:val="auto"/>
        </w:rPr>
      </w:pPr>
    </w:p>
    <w:p>
      <w:pPr>
        <w:ind w:left="1040"/>
        <w:spacing w:after="0"/>
        <w:rPr>
          <w:rFonts w:ascii="Arial" w:cs="Arial" w:eastAsia="Arial" w:hAnsi="Arial"/>
          <w:sz w:val="13"/>
          <w:szCs w:val="13"/>
          <w:u w:val="single" w:color="auto"/>
          <w:color w:val="0000EE"/>
        </w:rPr>
      </w:pPr>
      <w:hyperlink w:anchor="page7">
        <w:r>
          <w:rPr>
            <w:rFonts w:ascii="Arial" w:cs="Arial" w:eastAsia="Arial" w:hAnsi="Arial"/>
            <w:sz w:val="13"/>
            <w:szCs w:val="13"/>
            <w:u w:val="single" w:color="auto"/>
            <w:color w:val="0000EE"/>
          </w:rPr>
          <w:t>Condensed Consolidated Statements of Comprehensive Income (Loss) for the Three and Six Months Ended June 30, 2020 and 2019</w:t>
        </w:r>
      </w:hyperlink>
    </w:p>
    <w:p>
      <w:pPr>
        <w:spacing w:after="0" w:line="104" w:lineRule="exact"/>
        <w:rPr>
          <w:sz w:val="20"/>
          <w:szCs w:val="20"/>
          <w:color w:val="auto"/>
        </w:rPr>
      </w:pPr>
    </w:p>
    <w:p>
      <w:pPr>
        <w:ind w:left="104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Condensed Consolidated Statements of Stockholders' Equity for the Three and Six Months Ended June 30, 2020 and 2019</w:t>
        </w:r>
      </w:hyperlink>
    </w:p>
    <w:p>
      <w:pPr>
        <w:spacing w:after="0" w:line="93" w:lineRule="exact"/>
        <w:rPr>
          <w:sz w:val="20"/>
          <w:szCs w:val="20"/>
          <w:color w:val="auto"/>
        </w:rPr>
      </w:pPr>
    </w:p>
    <w:p>
      <w:pPr>
        <w:ind w:left="1040"/>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Condensed Consolidated Statements of Cash Flows for the Six Months Ended June 30, 2020 and 2019</w:t>
        </w:r>
      </w:hyperlink>
    </w:p>
    <w:p>
      <w:pPr>
        <w:spacing w:after="0" w:line="81" w:lineRule="exact"/>
        <w:rPr>
          <w:sz w:val="20"/>
          <w:szCs w:val="20"/>
          <w:color w:val="auto"/>
        </w:rPr>
      </w:pPr>
    </w:p>
    <w:p>
      <w:pPr>
        <w:ind w:left="1040"/>
        <w:spacing w:after="0"/>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Notes to Condensed Consolidated Financial Statements</w:t>
        </w:r>
      </w:hyperlink>
    </w:p>
    <w:p>
      <w:pPr>
        <w:spacing w:after="0" w:line="81" w:lineRule="exact"/>
        <w:rPr>
          <w:sz w:val="20"/>
          <w:szCs w:val="20"/>
          <w:color w:val="auto"/>
        </w:rPr>
      </w:pPr>
    </w:p>
    <w:p>
      <w:pPr>
        <w:ind w:left="20"/>
        <w:spacing w:after="0"/>
        <w:tabs>
          <w:tab w:leader="none" w:pos="1020" w:val="left"/>
        </w:tabs>
        <w:rPr>
          <w:rFonts w:ascii="Arial" w:cs="Arial" w:eastAsia="Arial" w:hAnsi="Arial"/>
          <w:sz w:val="13"/>
          <w:szCs w:val="13"/>
          <w:u w:val="single" w:color="auto"/>
          <w:color w:val="0000EE"/>
        </w:rPr>
      </w:pPr>
      <w:r>
        <w:rPr>
          <w:rFonts w:ascii="Arial" w:cs="Arial" w:eastAsia="Arial" w:hAnsi="Arial"/>
          <w:sz w:val="15"/>
          <w:szCs w:val="15"/>
          <w:color w:val="auto"/>
        </w:rPr>
        <w:t>Item 2.</w:t>
      </w:r>
      <w:r>
        <w:rPr>
          <w:sz w:val="20"/>
          <w:szCs w:val="20"/>
          <w:color w:val="auto"/>
        </w:rPr>
        <w:tab/>
      </w:r>
      <w:hyperlink w:anchor="page35">
        <w:r>
          <w:rPr>
            <w:rFonts w:ascii="Arial" w:cs="Arial" w:eastAsia="Arial" w:hAnsi="Arial"/>
            <w:sz w:val="13"/>
            <w:szCs w:val="13"/>
            <w:u w:val="single" w:color="auto"/>
            <w:color w:val="0000EE"/>
          </w:rPr>
          <w:t>Management's Discussion and Analysis of Financial Condition and Results of Operations</w:t>
        </w:r>
      </w:hyperlink>
    </w:p>
    <w:p>
      <w:pPr>
        <w:spacing w:after="0" w:line="69" w:lineRule="exact"/>
        <w:rPr>
          <w:sz w:val="20"/>
          <w:szCs w:val="20"/>
          <w:color w:val="auto"/>
        </w:rPr>
      </w:pPr>
    </w:p>
    <w:p>
      <w:pPr>
        <w:ind w:left="20"/>
        <w:spacing w:after="0"/>
        <w:tabs>
          <w:tab w:leader="none" w:pos="1020" w:val="left"/>
        </w:tabs>
        <w:rPr>
          <w:rFonts w:ascii="Arial" w:cs="Arial" w:eastAsia="Arial" w:hAnsi="Arial"/>
          <w:sz w:val="14"/>
          <w:szCs w:val="14"/>
          <w:u w:val="single" w:color="auto"/>
          <w:color w:val="0000EE"/>
        </w:rPr>
      </w:pPr>
      <w:r>
        <w:rPr>
          <w:rFonts w:ascii="Arial" w:cs="Arial" w:eastAsia="Arial" w:hAnsi="Arial"/>
          <w:sz w:val="15"/>
          <w:szCs w:val="15"/>
          <w:color w:val="auto"/>
        </w:rPr>
        <w:t>Item 3.</w:t>
      </w:r>
      <w:r>
        <w:rPr>
          <w:sz w:val="20"/>
          <w:szCs w:val="20"/>
          <w:color w:val="auto"/>
        </w:rPr>
        <w:tab/>
      </w:r>
      <w:hyperlink w:anchor="page56">
        <w:r>
          <w:rPr>
            <w:rFonts w:ascii="Arial" w:cs="Arial" w:eastAsia="Arial" w:hAnsi="Arial"/>
            <w:sz w:val="14"/>
            <w:szCs w:val="14"/>
            <w:u w:val="single" w:color="auto"/>
            <w:color w:val="0000EE"/>
          </w:rPr>
          <w:t>Quantitative and Qualitative Disclosures About Market Risk</w:t>
        </w:r>
      </w:hyperlink>
    </w:p>
    <w:p>
      <w:pPr>
        <w:spacing w:after="0" w:line="69" w:lineRule="exact"/>
        <w:rPr>
          <w:sz w:val="20"/>
          <w:szCs w:val="20"/>
          <w:color w:val="auto"/>
        </w:rPr>
      </w:pPr>
    </w:p>
    <w:p>
      <w:pPr>
        <w:ind w:left="20"/>
        <w:spacing w:after="0"/>
        <w:tabs>
          <w:tab w:leader="none" w:pos="1020" w:val="left"/>
        </w:tabs>
        <w:rPr>
          <w:rFonts w:ascii="Arial" w:cs="Arial" w:eastAsia="Arial" w:hAnsi="Arial"/>
          <w:sz w:val="13"/>
          <w:szCs w:val="13"/>
          <w:u w:val="single" w:color="auto"/>
          <w:color w:val="0000EE"/>
        </w:rPr>
      </w:pPr>
      <w:r>
        <w:rPr>
          <w:rFonts w:ascii="Arial" w:cs="Arial" w:eastAsia="Arial" w:hAnsi="Arial"/>
          <w:sz w:val="15"/>
          <w:szCs w:val="15"/>
          <w:color w:val="auto"/>
        </w:rPr>
        <w:t>Item 4.</w:t>
      </w:r>
      <w:r>
        <w:rPr>
          <w:sz w:val="20"/>
          <w:szCs w:val="20"/>
          <w:color w:val="auto"/>
        </w:rPr>
        <w:tab/>
      </w:r>
      <w:hyperlink w:anchor="page57">
        <w:r>
          <w:rPr>
            <w:rFonts w:ascii="Arial" w:cs="Arial" w:eastAsia="Arial" w:hAnsi="Arial"/>
            <w:sz w:val="13"/>
            <w:szCs w:val="13"/>
            <w:u w:val="single" w:color="auto"/>
            <w:color w:val="0000EE"/>
          </w:rPr>
          <w:t>Controls and Procedures</w:t>
        </w:r>
      </w:hyperlink>
    </w:p>
    <w:p>
      <w:pPr>
        <w:spacing w:after="0" w:line="373" w:lineRule="exact"/>
        <w:rPr>
          <w:sz w:val="20"/>
          <w:szCs w:val="20"/>
          <w:color w:val="auto"/>
        </w:rPr>
      </w:pPr>
    </w:p>
    <w:p>
      <w:pPr>
        <w:jc w:val="center"/>
        <w:ind w:left="1080"/>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PART II.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Page</w:t>
      </w:r>
    </w:p>
    <w:p>
      <w:pPr>
        <w:spacing w:after="0" w:line="349" w:lineRule="exact"/>
        <w:rPr>
          <w:sz w:val="20"/>
          <w:szCs w:val="20"/>
          <w:color w:val="auto"/>
        </w:rPr>
      </w:pPr>
    </w:p>
    <w:p>
      <w:pPr>
        <w:jc w:val="right"/>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5</w:t>
        </w:r>
      </w:hyperlink>
    </w:p>
    <w:p>
      <w:pPr>
        <w:spacing w:after="0" w:line="81" w:lineRule="exact"/>
        <w:rPr>
          <w:sz w:val="20"/>
          <w:szCs w:val="20"/>
          <w:color w:val="auto"/>
        </w:rPr>
      </w:pPr>
    </w:p>
    <w:p>
      <w:pPr>
        <w:jc w:val="right"/>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5</w:t>
        </w:r>
      </w:hyperlink>
    </w:p>
    <w:p>
      <w:pPr>
        <w:spacing w:after="0" w:line="81" w:lineRule="exact"/>
        <w:rPr>
          <w:sz w:val="20"/>
          <w:szCs w:val="20"/>
          <w:color w:val="auto"/>
        </w:rPr>
      </w:pPr>
    </w:p>
    <w:p>
      <w:pPr>
        <w:jc w:val="right"/>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6</w:t>
        </w:r>
      </w:hyperlink>
    </w:p>
    <w:p>
      <w:pPr>
        <w:spacing w:after="0" w:line="81" w:lineRule="exact"/>
        <w:rPr>
          <w:sz w:val="20"/>
          <w:szCs w:val="20"/>
          <w:color w:val="auto"/>
        </w:rPr>
      </w:pPr>
    </w:p>
    <w:p>
      <w:pPr>
        <w:jc w:val="right"/>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7</w:t>
        </w:r>
      </w:hyperlink>
    </w:p>
    <w:p>
      <w:pPr>
        <w:spacing w:after="0" w:line="81" w:lineRule="exact"/>
        <w:rPr>
          <w:sz w:val="20"/>
          <w:szCs w:val="20"/>
          <w:color w:val="auto"/>
        </w:rPr>
      </w:pPr>
    </w:p>
    <w:p>
      <w:pPr>
        <w:jc w:val="right"/>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8</w:t>
        </w:r>
      </w:hyperlink>
    </w:p>
    <w:p>
      <w:pPr>
        <w:spacing w:after="0" w:line="81" w:lineRule="exact"/>
        <w:rPr>
          <w:sz w:val="20"/>
          <w:szCs w:val="20"/>
          <w:color w:val="auto"/>
        </w:rPr>
      </w:pPr>
    </w:p>
    <w:p>
      <w:pPr>
        <w:jc w:val="right"/>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10</w:t>
        </w:r>
      </w:hyperlink>
    </w:p>
    <w:p>
      <w:pPr>
        <w:spacing w:after="0" w:line="81" w:lineRule="exact"/>
        <w:rPr>
          <w:sz w:val="20"/>
          <w:szCs w:val="20"/>
          <w:color w:val="auto"/>
        </w:rPr>
      </w:pPr>
    </w:p>
    <w:p>
      <w:pPr>
        <w:jc w:val="right"/>
        <w:spacing w:after="0"/>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11</w:t>
        </w:r>
      </w:hyperlink>
    </w:p>
    <w:p>
      <w:pPr>
        <w:spacing w:after="0" w:line="69" w:lineRule="exact"/>
        <w:rPr>
          <w:sz w:val="20"/>
          <w:szCs w:val="20"/>
          <w:color w:val="auto"/>
        </w:rPr>
      </w:pPr>
    </w:p>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35</w:t>
        </w:r>
      </w:hyperlink>
    </w:p>
    <w:p>
      <w:pPr>
        <w:spacing w:after="0" w:line="69" w:lineRule="exact"/>
        <w:rPr>
          <w:sz w:val="20"/>
          <w:szCs w:val="20"/>
          <w:color w:val="auto"/>
        </w:rPr>
      </w:pPr>
    </w:p>
    <w:p>
      <w:pPr>
        <w:jc w:val="right"/>
        <w:spacing w:after="0"/>
        <w:rPr>
          <w:rFonts w:ascii="Arial" w:cs="Arial" w:eastAsia="Arial" w:hAnsi="Arial"/>
          <w:sz w:val="15"/>
          <w:szCs w:val="15"/>
          <w:u w:val="single" w:color="auto"/>
          <w:color w:val="0000EE"/>
        </w:rPr>
      </w:pPr>
      <w:hyperlink w:anchor="page56">
        <w:r>
          <w:rPr>
            <w:rFonts w:ascii="Arial" w:cs="Arial" w:eastAsia="Arial" w:hAnsi="Arial"/>
            <w:sz w:val="15"/>
            <w:szCs w:val="15"/>
            <w:u w:val="single" w:color="auto"/>
            <w:color w:val="0000EE"/>
          </w:rPr>
          <w:t>56</w:t>
        </w:r>
      </w:hyperlink>
    </w:p>
    <w:p>
      <w:pPr>
        <w:spacing w:after="0" w:line="69" w:lineRule="exact"/>
        <w:rPr>
          <w:sz w:val="20"/>
          <w:szCs w:val="20"/>
          <w:color w:val="auto"/>
        </w:rPr>
      </w:pPr>
    </w:p>
    <w:p>
      <w:pPr>
        <w:jc w:val="right"/>
        <w:spacing w:after="0"/>
        <w:rPr>
          <w:rFonts w:ascii="Arial" w:cs="Arial" w:eastAsia="Arial" w:hAnsi="Arial"/>
          <w:sz w:val="15"/>
          <w:szCs w:val="15"/>
          <w:u w:val="single" w:color="auto"/>
          <w:color w:val="0000EE"/>
        </w:rPr>
      </w:pPr>
      <w:hyperlink w:anchor="page57">
        <w:r>
          <w:rPr>
            <w:rFonts w:ascii="Arial" w:cs="Arial" w:eastAsia="Arial" w:hAnsi="Arial"/>
            <w:sz w:val="15"/>
            <w:szCs w:val="15"/>
            <w:u w:val="single" w:color="auto"/>
            <w:color w:val="0000EE"/>
          </w:rPr>
          <w:t>57</w:t>
        </w:r>
      </w:hyperlink>
    </w:p>
    <w:p>
      <w:pPr>
        <w:spacing w:after="0" w:line="626" w:lineRule="exact"/>
        <w:rPr>
          <w:sz w:val="20"/>
          <w:szCs w:val="20"/>
          <w:color w:val="auto"/>
        </w:rPr>
      </w:pPr>
    </w:p>
    <w:p>
      <w:pPr>
        <w:sectPr>
          <w:pgSz w:w="11900" w:h="16838" w:orient="portrait"/>
          <w:cols w:equalWidth="0" w:num="2">
            <w:col w:w="10180" w:space="720"/>
            <w:col w:w="320"/>
          </w:cols>
          <w:pgMar w:left="320" w:top="123" w:right="359" w:bottom="1440" w:gutter="0" w:footer="0" w:header="0"/>
        </w:sectPr>
      </w:pPr>
    </w:p>
    <w:tbl>
      <w:tblPr>
        <w:tblLayout w:type="fixed"/>
        <w:tblInd w:w="20" w:type="dxa"/>
        <w:tblCellMar>
          <w:top w:w="0" w:type="dxa"/>
          <w:left w:w="0" w:type="dxa"/>
          <w:bottom w:w="0" w:type="dxa"/>
          <w:right w:w="0" w:type="dxa"/>
        </w:tblCellMar>
      </w:tblPr>
      <w:tr>
        <w:trPr>
          <w:trHeight w:val="192"/>
        </w:trPr>
        <w:tc>
          <w:tcPr>
            <w:tcW w:w="780" w:type="dxa"/>
            <w:vAlign w:val="bottom"/>
          </w:tcPr>
          <w:p>
            <w:pPr>
              <w:spacing w:after="0"/>
              <w:rPr>
                <w:sz w:val="20"/>
                <w:szCs w:val="20"/>
                <w:color w:val="auto"/>
              </w:rPr>
            </w:pPr>
            <w:r>
              <w:rPr>
                <w:rFonts w:ascii="Arial" w:cs="Arial" w:eastAsia="Arial" w:hAnsi="Arial"/>
                <w:sz w:val="15"/>
                <w:szCs w:val="15"/>
                <w:color w:val="auto"/>
              </w:rPr>
              <w:t>Item 1.</w:t>
            </w:r>
          </w:p>
        </w:tc>
        <w:tc>
          <w:tcPr>
            <w:tcW w:w="7100" w:type="dxa"/>
            <w:vAlign w:val="bottom"/>
          </w:tcPr>
          <w:p>
            <w:pPr>
              <w:ind w:left="240"/>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Legal Proceedings</w:t>
              </w:r>
            </w:hyperlink>
          </w:p>
        </w:tc>
        <w:tc>
          <w:tcPr>
            <w:tcW w:w="3320" w:type="dxa"/>
            <w:vAlign w:val="bottom"/>
          </w:tcPr>
          <w:p>
            <w:pPr>
              <w:jc w:val="right"/>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58</w:t>
              </w:r>
            </w:hyperlink>
          </w:p>
        </w:tc>
      </w:tr>
      <w:tr>
        <w:trPr>
          <w:trHeight w:val="241"/>
        </w:trPr>
        <w:tc>
          <w:tcPr>
            <w:tcW w:w="780" w:type="dxa"/>
            <w:vAlign w:val="bottom"/>
          </w:tcPr>
          <w:p>
            <w:pPr>
              <w:spacing w:after="0"/>
              <w:rPr>
                <w:sz w:val="20"/>
                <w:szCs w:val="20"/>
                <w:color w:val="auto"/>
              </w:rPr>
            </w:pPr>
            <w:r>
              <w:rPr>
                <w:rFonts w:ascii="Arial" w:cs="Arial" w:eastAsia="Arial" w:hAnsi="Arial"/>
                <w:sz w:val="15"/>
                <w:szCs w:val="15"/>
                <w:color w:val="auto"/>
              </w:rPr>
              <w:t>Item 1A.</w:t>
            </w:r>
          </w:p>
        </w:tc>
        <w:tc>
          <w:tcPr>
            <w:tcW w:w="7100" w:type="dxa"/>
            <w:vAlign w:val="bottom"/>
          </w:tcPr>
          <w:p>
            <w:pPr>
              <w:ind w:left="240"/>
              <w:spacing w:after="0"/>
              <w:rPr>
                <w:rFonts w:ascii="Arial" w:cs="Arial" w:eastAsia="Arial" w:hAnsi="Arial"/>
                <w:sz w:val="15"/>
                <w:szCs w:val="15"/>
                <w:u w:val="single" w:color="auto"/>
                <w:color w:val="0000EE"/>
              </w:rPr>
            </w:pPr>
            <w:hyperlink w:anchor="page59">
              <w:r>
                <w:rPr>
                  <w:rFonts w:ascii="Arial" w:cs="Arial" w:eastAsia="Arial" w:hAnsi="Arial"/>
                  <w:sz w:val="15"/>
                  <w:szCs w:val="15"/>
                  <w:u w:val="single" w:color="auto"/>
                  <w:color w:val="0000EE"/>
                </w:rPr>
                <w:t>Risk Factors</w:t>
              </w:r>
            </w:hyperlink>
          </w:p>
        </w:tc>
        <w:tc>
          <w:tcPr>
            <w:tcW w:w="3320" w:type="dxa"/>
            <w:vAlign w:val="bottom"/>
          </w:tcPr>
          <w:p>
            <w:pPr>
              <w:jc w:val="right"/>
              <w:spacing w:after="0"/>
              <w:rPr>
                <w:rFonts w:ascii="Arial" w:cs="Arial" w:eastAsia="Arial" w:hAnsi="Arial"/>
                <w:sz w:val="15"/>
                <w:szCs w:val="15"/>
                <w:u w:val="single" w:color="auto"/>
                <w:color w:val="0000EE"/>
              </w:rPr>
            </w:pPr>
            <w:hyperlink w:anchor="page59">
              <w:r>
                <w:rPr>
                  <w:rFonts w:ascii="Arial" w:cs="Arial" w:eastAsia="Arial" w:hAnsi="Arial"/>
                  <w:sz w:val="15"/>
                  <w:szCs w:val="15"/>
                  <w:u w:val="single" w:color="auto"/>
                  <w:color w:val="0000EE"/>
                </w:rPr>
                <w:t>59</w:t>
              </w:r>
            </w:hyperlink>
          </w:p>
        </w:tc>
      </w:tr>
      <w:tr>
        <w:trPr>
          <w:trHeight w:val="241"/>
        </w:trPr>
        <w:tc>
          <w:tcPr>
            <w:tcW w:w="780" w:type="dxa"/>
            <w:vAlign w:val="bottom"/>
          </w:tcPr>
          <w:p>
            <w:pPr>
              <w:spacing w:after="0"/>
              <w:rPr>
                <w:sz w:val="20"/>
                <w:szCs w:val="20"/>
                <w:color w:val="auto"/>
              </w:rPr>
            </w:pPr>
            <w:r>
              <w:rPr>
                <w:rFonts w:ascii="Arial" w:cs="Arial" w:eastAsia="Arial" w:hAnsi="Arial"/>
                <w:sz w:val="15"/>
                <w:szCs w:val="15"/>
                <w:color w:val="auto"/>
              </w:rPr>
              <w:t>Item 2.</w:t>
            </w:r>
          </w:p>
        </w:tc>
        <w:tc>
          <w:tcPr>
            <w:tcW w:w="7100" w:type="dxa"/>
            <w:vAlign w:val="bottom"/>
          </w:tcPr>
          <w:p>
            <w:pPr>
              <w:ind w:left="240"/>
              <w:spacing w:after="0"/>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Unregistered Sales of Equity Securities and Use of Proceeds</w:t>
              </w:r>
            </w:hyperlink>
          </w:p>
        </w:tc>
        <w:tc>
          <w:tcPr>
            <w:tcW w:w="3320" w:type="dxa"/>
            <w:vAlign w:val="bottom"/>
          </w:tcPr>
          <w:p>
            <w:pPr>
              <w:jc w:val="right"/>
              <w:spacing w:after="0"/>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85</w:t>
              </w:r>
            </w:hyperlink>
          </w:p>
        </w:tc>
      </w:tr>
      <w:tr>
        <w:trPr>
          <w:trHeight w:val="241"/>
        </w:trPr>
        <w:tc>
          <w:tcPr>
            <w:tcW w:w="780" w:type="dxa"/>
            <w:vAlign w:val="bottom"/>
          </w:tcPr>
          <w:p>
            <w:pPr>
              <w:spacing w:after="0"/>
              <w:rPr>
                <w:sz w:val="20"/>
                <w:szCs w:val="20"/>
                <w:color w:val="auto"/>
              </w:rPr>
            </w:pPr>
            <w:r>
              <w:rPr>
                <w:rFonts w:ascii="Arial" w:cs="Arial" w:eastAsia="Arial" w:hAnsi="Arial"/>
                <w:sz w:val="15"/>
                <w:szCs w:val="15"/>
                <w:color w:val="auto"/>
              </w:rPr>
              <w:t>Item 6.</w:t>
            </w:r>
          </w:p>
        </w:tc>
        <w:tc>
          <w:tcPr>
            <w:tcW w:w="7100" w:type="dxa"/>
            <w:vAlign w:val="bottom"/>
          </w:tcPr>
          <w:p>
            <w:pPr>
              <w:ind w:left="240"/>
              <w:spacing w:after="0"/>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Exhibits</w:t>
              </w:r>
            </w:hyperlink>
          </w:p>
        </w:tc>
        <w:tc>
          <w:tcPr>
            <w:tcW w:w="3320" w:type="dxa"/>
            <w:vAlign w:val="bottom"/>
          </w:tcPr>
          <w:p>
            <w:pPr>
              <w:jc w:val="right"/>
              <w:spacing w:after="0"/>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85</w:t>
              </w:r>
            </w:hyperlink>
          </w:p>
        </w:tc>
      </w:tr>
      <w:tr>
        <w:trPr>
          <w:trHeight w:val="254"/>
        </w:trPr>
        <w:tc>
          <w:tcPr>
            <w:tcW w:w="780" w:type="dxa"/>
            <w:vAlign w:val="bottom"/>
          </w:tcPr>
          <w:p>
            <w:pPr>
              <w:spacing w:after="0"/>
              <w:rPr>
                <w:sz w:val="22"/>
                <w:szCs w:val="22"/>
                <w:color w:val="auto"/>
              </w:rPr>
            </w:pPr>
          </w:p>
        </w:tc>
        <w:tc>
          <w:tcPr>
            <w:tcW w:w="7100" w:type="dxa"/>
            <w:vAlign w:val="bottom"/>
          </w:tcPr>
          <w:p>
            <w:pPr>
              <w:ind w:left="240"/>
              <w:spacing w:after="0"/>
              <w:rPr>
                <w:rFonts w:ascii="Arial" w:cs="Arial" w:eastAsia="Arial" w:hAnsi="Arial"/>
                <w:sz w:val="15"/>
                <w:szCs w:val="15"/>
                <w:u w:val="single" w:color="auto"/>
                <w:color w:val="0000EE"/>
              </w:rPr>
            </w:pPr>
            <w:hyperlink w:anchor="page86">
              <w:r>
                <w:rPr>
                  <w:rFonts w:ascii="Arial" w:cs="Arial" w:eastAsia="Arial" w:hAnsi="Arial"/>
                  <w:sz w:val="15"/>
                  <w:szCs w:val="15"/>
                  <w:u w:val="single" w:color="auto"/>
                  <w:color w:val="0000EE"/>
                </w:rPr>
                <w:t>Exhibit Index</w:t>
              </w:r>
            </w:hyperlink>
          </w:p>
        </w:tc>
        <w:tc>
          <w:tcPr>
            <w:tcW w:w="3320" w:type="dxa"/>
            <w:vAlign w:val="bottom"/>
          </w:tcPr>
          <w:p>
            <w:pPr>
              <w:jc w:val="right"/>
              <w:spacing w:after="0"/>
              <w:rPr>
                <w:rFonts w:ascii="Arial" w:cs="Arial" w:eastAsia="Arial" w:hAnsi="Arial"/>
                <w:sz w:val="15"/>
                <w:szCs w:val="15"/>
                <w:u w:val="single" w:color="auto"/>
                <w:color w:val="0000EE"/>
              </w:rPr>
            </w:pPr>
            <w:hyperlink w:anchor="page86">
              <w:r>
                <w:rPr>
                  <w:rFonts w:ascii="Arial" w:cs="Arial" w:eastAsia="Arial" w:hAnsi="Arial"/>
                  <w:sz w:val="15"/>
                  <w:szCs w:val="15"/>
                  <w:u w:val="single" w:color="auto"/>
                  <w:color w:val="0000EE"/>
                </w:rPr>
                <w:t>86</w:t>
              </w:r>
            </w:hyperlink>
          </w:p>
        </w:tc>
      </w:tr>
      <w:tr>
        <w:trPr>
          <w:trHeight w:val="254"/>
        </w:trPr>
        <w:tc>
          <w:tcPr>
            <w:tcW w:w="780" w:type="dxa"/>
            <w:vAlign w:val="bottom"/>
          </w:tcPr>
          <w:p>
            <w:pPr>
              <w:spacing w:after="0"/>
              <w:rPr>
                <w:sz w:val="22"/>
                <w:szCs w:val="22"/>
                <w:color w:val="auto"/>
              </w:rPr>
            </w:pPr>
          </w:p>
        </w:tc>
        <w:tc>
          <w:tcPr>
            <w:tcW w:w="7100" w:type="dxa"/>
            <w:vAlign w:val="bottom"/>
          </w:tcPr>
          <w:p>
            <w:pPr>
              <w:ind w:left="240"/>
              <w:spacing w:after="0"/>
              <w:rPr>
                <w:rFonts w:ascii="Arial" w:cs="Arial" w:eastAsia="Arial" w:hAnsi="Arial"/>
                <w:sz w:val="15"/>
                <w:szCs w:val="15"/>
                <w:u w:val="single" w:color="auto"/>
                <w:color w:val="0000EE"/>
              </w:rPr>
            </w:pPr>
            <w:hyperlink w:anchor="page87">
              <w:r>
                <w:rPr>
                  <w:rFonts w:ascii="Arial" w:cs="Arial" w:eastAsia="Arial" w:hAnsi="Arial"/>
                  <w:sz w:val="15"/>
                  <w:szCs w:val="15"/>
                  <w:u w:val="single" w:color="auto"/>
                  <w:color w:val="0000EE"/>
                </w:rPr>
                <w:t>Signatures</w:t>
              </w:r>
            </w:hyperlink>
          </w:p>
        </w:tc>
        <w:tc>
          <w:tcPr>
            <w:tcW w:w="3320" w:type="dxa"/>
            <w:vAlign w:val="bottom"/>
          </w:tcPr>
          <w:p>
            <w:pPr>
              <w:jc w:val="right"/>
              <w:spacing w:after="0"/>
              <w:rPr>
                <w:rFonts w:ascii="Arial" w:cs="Arial" w:eastAsia="Arial" w:hAnsi="Arial"/>
                <w:sz w:val="15"/>
                <w:szCs w:val="15"/>
                <w:u w:val="single" w:color="auto"/>
                <w:color w:val="0000EE"/>
              </w:rPr>
            </w:pPr>
            <w:hyperlink w:anchor="page87">
              <w:r>
                <w:rPr>
                  <w:rFonts w:ascii="Arial" w:cs="Arial" w:eastAsia="Arial" w:hAnsi="Arial"/>
                  <w:sz w:val="15"/>
                  <w:szCs w:val="15"/>
                  <w:u w:val="single" w:color="auto"/>
                  <w:color w:val="0000EE"/>
                </w:rPr>
                <w:t>87</w:t>
              </w:r>
            </w:hyperlink>
          </w:p>
        </w:tc>
      </w:tr>
    </w:tbl>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320" w:top="123" w:right="359" w:bottom="1440" w:gutter="0" w:footer="0" w:header="0"/>
          <w:type w:val="continuous"/>
        </w:sectPr>
      </w:pPr>
    </w:p>
    <w:bookmarkStart w:id="4" w:name="page5"/>
    <w:bookmarkEnd w:id="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 FINANCIAL INFORMATION</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7"/>
          <w:szCs w:val="17"/>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rPr>
              <w:t>As of</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ind w:left="240"/>
              <w:spacing w:after="0"/>
              <w:rPr>
                <w:sz w:val="20"/>
                <w:szCs w:val="20"/>
                <w:color w:val="auto"/>
              </w:rPr>
            </w:pPr>
            <w:r>
              <w:rPr>
                <w:rFonts w:ascii="Arial" w:cs="Arial" w:eastAsia="Arial" w:hAnsi="Arial"/>
                <w:sz w:val="17"/>
                <w:szCs w:val="17"/>
                <w:b w:val="1"/>
                <w:bCs w:val="1"/>
                <w:color w:val="auto"/>
              </w:rPr>
              <w:t>June 30, 2020</w:t>
            </w:r>
          </w:p>
        </w:tc>
        <w:tc>
          <w:tcPr>
            <w:tcW w:w="260" w:type="dxa"/>
            <w:vAlign w:val="bottom"/>
          </w:tcPr>
          <w:p>
            <w:pPr>
              <w:spacing w:after="0"/>
              <w:rPr>
                <w:sz w:val="19"/>
                <w:szCs w:val="19"/>
                <w:color w:val="auto"/>
              </w:rPr>
            </w:pPr>
          </w:p>
        </w:tc>
        <w:tc>
          <w:tcPr>
            <w:tcW w:w="1860" w:type="dxa"/>
            <w:vAlign w:val="bottom"/>
          </w:tcPr>
          <w:p>
            <w:pPr>
              <w:jc w:val="right"/>
              <w:ind w:right="295"/>
              <w:spacing w:after="0"/>
              <w:rPr>
                <w:sz w:val="20"/>
                <w:szCs w:val="20"/>
                <w:color w:val="auto"/>
              </w:rPr>
            </w:pPr>
            <w:r>
              <w:rPr>
                <w:rFonts w:ascii="Arial" w:cs="Arial" w:eastAsia="Arial" w:hAnsi="Arial"/>
                <w:sz w:val="17"/>
                <w:szCs w:val="17"/>
                <w:b w:val="1"/>
                <w:bCs w:val="1"/>
                <w:color w:val="auto"/>
                <w:w w:val="95"/>
              </w:rPr>
              <w:t>December 31, 2019</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6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551.3</w:t>
            </w: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Short-term investments</w:t>
            </w:r>
          </w:p>
        </w:tc>
        <w:tc>
          <w:tcPr>
            <w:tcW w:w="360" w:type="dxa"/>
            <w:vAlign w:val="bottom"/>
          </w:tcPr>
          <w:p>
            <w:pPr>
              <w:spacing w:after="0"/>
              <w:rPr>
                <w:sz w:val="19"/>
                <w:szCs w:val="19"/>
                <w:color w:val="auto"/>
              </w:rPr>
            </w:pP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783.5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607.7</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Trade and other receivables, net</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Pr>
          <w:p>
            <w:pPr>
              <w:spacing w:after="0"/>
              <w:rPr>
                <w:sz w:val="19"/>
                <w:szCs w:val="19"/>
                <w:color w:val="auto"/>
              </w:rPr>
            </w:pP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59.1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6"/>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6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1,243.2</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60" w:type="dxa"/>
            <w:vAlign w:val="bottom"/>
          </w:tcPr>
          <w:p>
            <w:pPr>
              <w:spacing w:after="0"/>
              <w:rPr>
                <w:sz w:val="19"/>
                <w:szCs w:val="19"/>
                <w:color w:val="auto"/>
              </w:rPr>
            </w:pP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475.6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445.3</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657.9</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60" w:type="dxa"/>
            <w:vAlign w:val="bottom"/>
          </w:tcPr>
          <w:p>
            <w:pPr>
              <w:spacing w:after="0"/>
              <w:rPr>
                <w:sz w:val="19"/>
                <w:szCs w:val="19"/>
                <w:color w:val="auto"/>
              </w:rPr>
            </w:pP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360" w:type="dxa"/>
            <w:vAlign w:val="bottom"/>
          </w:tcPr>
          <w:p>
            <w:pPr>
              <w:spacing w:after="0"/>
              <w:rPr>
                <w:sz w:val="19"/>
                <w:szCs w:val="19"/>
                <w:color w:val="auto"/>
              </w:rPr>
            </w:pP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67.6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6"/>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2,699.2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6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Accrued and other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161.9</w:t>
            </w: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Accrued compensation and benefits</w:t>
            </w:r>
          </w:p>
        </w:tc>
        <w:tc>
          <w:tcPr>
            <w:tcW w:w="360" w:type="dxa"/>
            <w:vAlign w:val="bottom"/>
          </w:tcPr>
          <w:p>
            <w:pPr>
              <w:spacing w:after="0"/>
              <w:rPr>
                <w:sz w:val="19"/>
                <w:szCs w:val="19"/>
                <w:color w:val="auto"/>
              </w:rPr>
            </w:pP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71.1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Operating lease liability</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Finance lease obligation</w:t>
            </w:r>
          </w:p>
        </w:tc>
        <w:tc>
          <w:tcPr>
            <w:tcW w:w="360" w:type="dxa"/>
            <w:vAlign w:val="bottom"/>
          </w:tcPr>
          <w:p>
            <w:pPr>
              <w:spacing w:after="0"/>
              <w:rPr>
                <w:sz w:val="19"/>
                <w:szCs w:val="19"/>
                <w:color w:val="auto"/>
              </w:rPr>
            </w:pP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83.8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554.2</w:t>
            </w:r>
          </w:p>
        </w:tc>
        <w:tc>
          <w:tcPr>
            <w:tcW w:w="0" w:type="dxa"/>
            <w:vAlign w:val="bottom"/>
          </w:tcPr>
          <w:p>
            <w:pPr>
              <w:spacing w:after="0"/>
              <w:rPr>
                <w:sz w:val="1"/>
                <w:szCs w:val="1"/>
                <w:color w:val="auto"/>
              </w:rPr>
            </w:pPr>
          </w:p>
        </w:tc>
      </w:tr>
      <w:tr>
        <w:trPr>
          <w:trHeight w:val="220"/>
        </w:trPr>
        <w:tc>
          <w:tcPr>
            <w:tcW w:w="68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981.8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1,014.8</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711.9</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Finance lease obligation, non-current</w:t>
            </w:r>
          </w:p>
        </w:tc>
        <w:tc>
          <w:tcPr>
            <w:tcW w:w="360" w:type="dxa"/>
            <w:vAlign w:val="bottom"/>
          </w:tcPr>
          <w:p>
            <w:pPr>
              <w:spacing w:after="0"/>
              <w:rPr>
                <w:sz w:val="19"/>
                <w:szCs w:val="19"/>
                <w:color w:val="auto"/>
              </w:rPr>
            </w:pP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152.1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138.2</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20"/>
        </w:trPr>
        <w:tc>
          <w:tcPr>
            <w:tcW w:w="686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3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1,938.9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1,890.8</w:t>
            </w:r>
          </w:p>
        </w:tc>
        <w:tc>
          <w:tcPr>
            <w:tcW w:w="0" w:type="dxa"/>
            <w:vAlign w:val="bottom"/>
          </w:tcPr>
          <w:p>
            <w:pPr>
              <w:spacing w:after="0"/>
              <w:rPr>
                <w:sz w:val="1"/>
                <w:szCs w:val="1"/>
                <w:color w:val="auto"/>
              </w:rPr>
            </w:pPr>
          </w:p>
        </w:tc>
      </w:tr>
      <w:tr>
        <w:trPr>
          <w:trHeight w:val="26"/>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10)</w:t>
            </w:r>
          </w:p>
        </w:tc>
        <w:tc>
          <w:tcPr>
            <w:tcW w:w="36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Additional paid-in capital</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2,560.4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2,531.3</w:t>
            </w: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(1,764.4)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(1,726.2)</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Accumulated other comprehensive income</w:t>
            </w: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0"/>
        </w:trPr>
        <w:tc>
          <w:tcPr>
            <w:tcW w:w="686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803.4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808.4</w:t>
            </w:r>
          </w:p>
        </w:tc>
        <w:tc>
          <w:tcPr>
            <w:tcW w:w="0" w:type="dxa"/>
            <w:vAlign w:val="bottom"/>
          </w:tcPr>
          <w:p>
            <w:pPr>
              <w:spacing w:after="0"/>
              <w:rPr>
                <w:sz w:val="1"/>
                <w:szCs w:val="1"/>
                <w:color w:val="auto"/>
              </w:rPr>
            </w:pPr>
          </w:p>
        </w:tc>
      </w:tr>
      <w:tr>
        <w:trPr>
          <w:trHeight w:val="26"/>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2,699.2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2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9"/>
        </w:trPr>
        <w:tc>
          <w:tcPr>
            <w:tcW w:w="4920" w:type="dxa"/>
            <w:vAlign w:val="bottom"/>
          </w:tcPr>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4920" w:type="dxa"/>
            <w:vAlign w:val="bottom"/>
          </w:tcPr>
          <w:p>
            <w:pPr>
              <w:spacing w:after="0"/>
              <w:rPr>
                <w:sz w:val="24"/>
                <w:szCs w:val="24"/>
                <w:color w:val="auto"/>
              </w:rPr>
            </w:pPr>
          </w:p>
        </w:tc>
        <w:tc>
          <w:tcPr>
            <w:tcW w:w="174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98"/>
              </w:rPr>
              <w:t>DROPBOX, INC.</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260" w:type="dxa"/>
            <w:vAlign w:val="bottom"/>
            <w:gridSpan w:val="8"/>
          </w:tcPr>
          <w:p>
            <w:pPr>
              <w:jc w:val="center"/>
              <w:ind w:left="2915"/>
              <w:spacing w:after="0"/>
              <w:rPr>
                <w:sz w:val="20"/>
                <w:szCs w:val="20"/>
                <w:color w:val="auto"/>
              </w:rPr>
            </w:pPr>
            <w:r>
              <w:rPr>
                <w:rFonts w:ascii="Arial" w:cs="Arial" w:eastAsia="Arial" w:hAnsi="Arial"/>
                <w:sz w:val="17"/>
                <w:szCs w:val="17"/>
                <w:b w:val="1"/>
                <w:bCs w:val="1"/>
                <w:color w:val="auto"/>
                <w:w w:val="98"/>
              </w:rPr>
              <w:t>CONDENSED CONSOLIDATED STATEMENTS OF OPERATIONS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80" w:type="dxa"/>
            <w:vAlign w:val="bottom"/>
            <w:gridSpan w:val="6"/>
          </w:tcPr>
          <w:p>
            <w:pPr>
              <w:jc w:val="center"/>
              <w:ind w:left="4095"/>
              <w:spacing w:after="0"/>
              <w:rPr>
                <w:sz w:val="20"/>
                <w:szCs w:val="20"/>
                <w:color w:val="auto"/>
              </w:rPr>
            </w:pPr>
            <w:r>
              <w:rPr>
                <w:rFonts w:ascii="Arial" w:cs="Arial" w:eastAsia="Arial" w:hAnsi="Arial"/>
                <w:sz w:val="17"/>
                <w:szCs w:val="17"/>
                <w:i w:val="1"/>
                <w:iCs w:val="1"/>
                <w:color w:val="auto"/>
                <w:w w:val="91"/>
              </w:rPr>
              <w:t>(In millions, except per share data)</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7"/>
                <w:szCs w:val="17"/>
                <w:i w:val="1"/>
                <w:iCs w:val="1"/>
                <w:color w:val="auto"/>
                <w:w w:val="92"/>
              </w:rPr>
              <w:t>(Unaudited)</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66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24"/>
                <w:szCs w:val="24"/>
                <w:color w:val="auto"/>
              </w:rPr>
            </w:pPr>
          </w:p>
        </w:tc>
        <w:tc>
          <w:tcPr>
            <w:tcW w:w="2660" w:type="dxa"/>
            <w:vAlign w:val="bottom"/>
            <w:gridSpan w:val="4"/>
          </w:tcPr>
          <w:p>
            <w:pPr>
              <w:jc w:val="right"/>
              <w:ind w:right="735"/>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19"/>
        </w:trPr>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3"/>
          </w:tcPr>
          <w:p>
            <w:pPr>
              <w:jc w:val="right"/>
              <w:ind w:right="75"/>
              <w:spacing w:after="0"/>
              <w:rPr>
                <w:sz w:val="20"/>
                <w:szCs w:val="20"/>
                <w:color w:val="auto"/>
              </w:rPr>
            </w:pPr>
            <w:r>
              <w:rPr>
                <w:rFonts w:ascii="Arial" w:cs="Arial" w:eastAsia="Arial" w:hAnsi="Arial"/>
                <w:sz w:val="17"/>
                <w:szCs w:val="17"/>
                <w:b w:val="1"/>
                <w:bCs w:val="1"/>
                <w:color w:val="auto"/>
              </w:rPr>
              <w:t>June 30,</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3"/>
          </w:tcPr>
          <w:p>
            <w:pPr>
              <w:jc w:val="right"/>
              <w:ind w:right="55"/>
              <w:spacing w:after="0"/>
              <w:rPr>
                <w:sz w:val="20"/>
                <w:szCs w:val="20"/>
                <w:color w:val="auto"/>
              </w:rPr>
            </w:pPr>
            <w:r>
              <w:rPr>
                <w:rFonts w:ascii="Arial" w:cs="Arial" w:eastAsia="Arial" w:hAnsi="Arial"/>
                <w:sz w:val="17"/>
                <w:szCs w:val="17"/>
                <w:b w:val="1"/>
                <w:bCs w:val="1"/>
                <w:color w:val="auto"/>
              </w:rPr>
              <w:t>June 30,</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4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467.4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787.1</w:t>
            </w:r>
          </w:p>
        </w:tc>
        <w:tc>
          <w:tcPr>
            <w:tcW w:w="0" w:type="dxa"/>
            <w:vAlign w:val="bottom"/>
          </w:tcPr>
          <w:p>
            <w:pPr>
              <w:spacing w:after="0"/>
              <w:rPr>
                <w:sz w:val="1"/>
                <w:szCs w:val="1"/>
                <w:color w:val="auto"/>
              </w:rPr>
            </w:pPr>
          </w:p>
        </w:tc>
      </w:tr>
      <w:tr>
        <w:trPr>
          <w:trHeight w:val="254"/>
        </w:trPr>
        <w:tc>
          <w:tcPr>
            <w:tcW w:w="4920" w:type="dxa"/>
            <w:vAlign w:val="bottom"/>
            <w:tcBorders>
              <w:bottom w:val="single" w:sz="8" w:color="CCEEFF"/>
            </w:tcBorders>
          </w:tcPr>
          <w:p>
            <w:pPr>
              <w:ind w:left="260"/>
              <w:spacing w:after="0" w:line="254"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102.5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102.9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205.6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22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364.9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298.6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716.8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585.8</w:t>
            </w:r>
          </w:p>
        </w:tc>
        <w:tc>
          <w:tcPr>
            <w:tcW w:w="0" w:type="dxa"/>
            <w:vAlign w:val="bottom"/>
          </w:tcPr>
          <w:p>
            <w:pPr>
              <w:spacing w:after="0"/>
              <w:rPr>
                <w:sz w:val="1"/>
                <w:szCs w:val="1"/>
                <w:color w:val="auto"/>
              </w:rPr>
            </w:pPr>
          </w:p>
        </w:tc>
      </w:tr>
      <w:tr>
        <w:trPr>
          <w:trHeight w:val="254"/>
        </w:trPr>
        <w:tc>
          <w:tcPr>
            <w:tcW w:w="4920" w:type="dxa"/>
            <w:vAlign w:val="bottom"/>
          </w:tcPr>
          <w:p>
            <w:pPr>
              <w:ind w:left="20"/>
              <w:spacing w:after="0" w:line="254" w:lineRule="exact"/>
              <w:rPr>
                <w:sz w:val="20"/>
                <w:szCs w:val="20"/>
                <w:color w:val="auto"/>
              </w:rPr>
            </w:pPr>
            <w:r>
              <w:rPr>
                <w:rFonts w:ascii="Arial" w:cs="Arial" w:eastAsia="Arial" w:hAnsi="Arial"/>
                <w:sz w:val="17"/>
                <w:szCs w:val="17"/>
                <w:color w:val="auto"/>
              </w:rPr>
              <w:t>Operating expenses</w:t>
            </w:r>
            <w:r>
              <w:rPr>
                <w:rFonts w:ascii="Arial" w:cs="Arial" w:eastAsia="Arial" w:hAnsi="Arial"/>
                <w:sz w:val="23"/>
                <w:szCs w:val="23"/>
                <w:color w:val="auto"/>
                <w:vertAlign w:val="superscript"/>
              </w:rPr>
              <w:t>(1)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185.8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367.6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312.4</w:t>
            </w:r>
          </w:p>
        </w:tc>
        <w:tc>
          <w:tcPr>
            <w:tcW w:w="0" w:type="dxa"/>
            <w:vAlign w:val="bottom"/>
          </w:tcPr>
          <w:p>
            <w:pPr>
              <w:spacing w:after="0"/>
              <w:rPr>
                <w:sz w:val="1"/>
                <w:szCs w:val="1"/>
                <w:color w:val="auto"/>
              </w:rPr>
            </w:pPr>
          </w:p>
        </w:tc>
      </w:tr>
      <w:tr>
        <w:trPr>
          <w:trHeight w:val="228"/>
        </w:trPr>
        <w:tc>
          <w:tcPr>
            <w:tcW w:w="4920" w:type="dxa"/>
            <w:vAlign w:val="bottom"/>
          </w:tcPr>
          <w:p>
            <w:pPr>
              <w:ind w:left="260"/>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102.8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207.1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208.8</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General and administrative</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119.9</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352.1</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332.6</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677.2</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641.1</w:t>
            </w:r>
          </w:p>
        </w:tc>
        <w:tc>
          <w:tcPr>
            <w:tcW w:w="0" w:type="dxa"/>
            <w:vAlign w:val="bottom"/>
          </w:tcPr>
          <w:p>
            <w:pPr>
              <w:spacing w:after="0"/>
              <w:rPr>
                <w:sz w:val="1"/>
                <w:szCs w:val="1"/>
                <w:color w:val="auto"/>
              </w:rPr>
            </w:pPr>
          </w:p>
        </w:tc>
      </w:tr>
      <w:tr>
        <w:trPr>
          <w:trHeight w:val="26"/>
        </w:trPr>
        <w:tc>
          <w:tcPr>
            <w:tcW w:w="4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Arial" w:cs="Arial" w:eastAsia="Arial" w:hAnsi="Arial"/>
                <w:sz w:val="17"/>
                <w:szCs w:val="17"/>
                <w:color w:val="auto"/>
              </w:rPr>
              <w:t>Interest income,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56.8</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66"/>
        </w:trPr>
        <w:tc>
          <w:tcPr>
            <w:tcW w:w="49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92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7"/>
                <w:szCs w:val="17"/>
                <w:color w:val="auto"/>
              </w:rPr>
              <w:t>Net income (loss) per share-basic and diluted:</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Arial" w:cs="Arial" w:eastAsia="Arial" w:hAnsi="Arial"/>
                <w:sz w:val="17"/>
                <w:szCs w:val="17"/>
                <w:color w:val="auto"/>
              </w:rPr>
              <w:t>Basic net income (loss) per share</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(0.05)</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66"/>
        </w:trPr>
        <w:tc>
          <w:tcPr>
            <w:tcW w:w="49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92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7"/>
                <w:szCs w:val="17"/>
                <w:color w:val="auto"/>
              </w:rPr>
              <w:t>Diluted net income (loss) per share</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196"/>
        </w:trPr>
        <w:tc>
          <w:tcPr>
            <w:tcW w:w="4920" w:type="dxa"/>
            <w:vAlign w:val="bottom"/>
          </w:tcPr>
          <w:p>
            <w:pPr>
              <w:ind w:left="20"/>
              <w:spacing w:after="0"/>
              <w:rPr>
                <w:sz w:val="20"/>
                <w:szCs w:val="20"/>
                <w:color w:val="auto"/>
              </w:rPr>
            </w:pPr>
            <w:r>
              <w:rPr>
                <w:rFonts w:ascii="Arial" w:cs="Arial" w:eastAsia="Arial" w:hAnsi="Arial"/>
                <w:sz w:val="17"/>
                <w:szCs w:val="17"/>
                <w:color w:val="auto"/>
                <w:w w:val="89"/>
              </w:rPr>
              <w:t>Weighted-average shares used in computing net income (loss) per share</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414.1</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412.4</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415.7</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411.5</w:t>
            </w:r>
          </w:p>
        </w:tc>
        <w:tc>
          <w:tcPr>
            <w:tcW w:w="0" w:type="dxa"/>
            <w:vAlign w:val="bottom"/>
          </w:tcPr>
          <w:p>
            <w:pPr>
              <w:spacing w:after="0"/>
              <w:rPr>
                <w:sz w:val="1"/>
                <w:szCs w:val="1"/>
                <w:color w:val="auto"/>
              </w:rPr>
            </w:pPr>
          </w:p>
        </w:tc>
      </w:tr>
      <w:tr>
        <w:trPr>
          <w:trHeight w:val="261"/>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attributable to common stockholders, basic</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w w:val="89"/>
              </w:rPr>
              <w:t>Weighted-average shares used in computing net income (loss) per share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420.5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412.4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419.7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411.5</w:t>
            </w:r>
          </w:p>
        </w:tc>
        <w:tc>
          <w:tcPr>
            <w:tcW w:w="0" w:type="dxa"/>
            <w:vAlign w:val="bottom"/>
          </w:tcPr>
          <w:p>
            <w:pPr>
              <w:spacing w:after="0"/>
              <w:rPr>
                <w:sz w:val="1"/>
                <w:szCs w:val="1"/>
                <w:color w:val="auto"/>
              </w:rPr>
            </w:pPr>
          </w:p>
        </w:tc>
      </w:tr>
      <w:tr>
        <w:trPr>
          <w:trHeight w:val="221"/>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attributable to common stockholders, diluted</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200" w:hanging="148"/>
        <w:spacing w:after="0"/>
        <w:tabs>
          <w:tab w:leader="none" w:pos="20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stock-based compensation as follows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2600" w:type="dxa"/>
            <w:vAlign w:val="bottom"/>
            <w:gridSpan w:val="4"/>
          </w:tcPr>
          <w:p>
            <w:pPr>
              <w:jc w:val="center"/>
              <w:ind w:left="435"/>
              <w:spacing w:after="0"/>
              <w:rPr>
                <w:sz w:val="20"/>
                <w:szCs w:val="20"/>
                <w:color w:val="auto"/>
              </w:rPr>
            </w:pPr>
            <w:r>
              <w:rPr>
                <w:rFonts w:ascii="Arial" w:cs="Arial" w:eastAsia="Arial" w:hAnsi="Arial"/>
                <w:sz w:val="17"/>
                <w:szCs w:val="17"/>
                <w:b w:val="1"/>
                <w:bCs w:val="1"/>
                <w:color w:val="auto"/>
                <w:w w:val="90"/>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4"/>
          </w:tcPr>
          <w:p>
            <w:pPr>
              <w:jc w:val="center"/>
              <w:ind w:left="395"/>
              <w:spacing w:after="0"/>
              <w:rPr>
                <w:sz w:val="20"/>
                <w:szCs w:val="20"/>
                <w:color w:val="auto"/>
              </w:rPr>
            </w:pPr>
            <w:r>
              <w:rPr>
                <w:rFonts w:ascii="Arial" w:cs="Arial" w:eastAsia="Arial" w:hAnsi="Arial"/>
                <w:sz w:val="17"/>
                <w:szCs w:val="17"/>
                <w:b w:val="1"/>
                <w:bCs w:val="1"/>
                <w:color w:val="auto"/>
                <w:w w:val="89"/>
              </w:rPr>
              <w:t>Six Months Ended</w:t>
            </w:r>
          </w:p>
        </w:tc>
        <w:tc>
          <w:tcPr>
            <w:tcW w:w="460" w:type="dxa"/>
            <w:vAlign w:val="bottom"/>
          </w:tcPr>
          <w:p>
            <w:pPr>
              <w:spacing w:after="0"/>
              <w:rPr>
                <w:sz w:val="17"/>
                <w:szCs w:val="17"/>
                <w:color w:val="auto"/>
              </w:rPr>
            </w:pPr>
          </w:p>
        </w:tc>
      </w:tr>
      <w:tr>
        <w:trPr>
          <w:trHeight w:val="219"/>
        </w:trPr>
        <w:tc>
          <w:tcPr>
            <w:tcW w:w="5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gridSpan w:val="3"/>
          </w:tcPr>
          <w:p>
            <w:pPr>
              <w:jc w:val="center"/>
              <w:ind w:right="395"/>
              <w:spacing w:after="0"/>
              <w:rPr>
                <w:sz w:val="20"/>
                <w:szCs w:val="20"/>
                <w:color w:val="auto"/>
              </w:rPr>
            </w:pPr>
            <w:r>
              <w:rPr>
                <w:rFonts w:ascii="Arial" w:cs="Arial" w:eastAsia="Arial" w:hAnsi="Arial"/>
                <w:sz w:val="17"/>
                <w:szCs w:val="17"/>
                <w:b w:val="1"/>
                <w:bCs w:val="1"/>
                <w:color w:val="auto"/>
                <w:w w:val="88"/>
              </w:rPr>
              <w:t>June 30,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60" w:type="dxa"/>
            <w:vAlign w:val="bottom"/>
            <w:gridSpan w:val="3"/>
          </w:tcPr>
          <w:p>
            <w:pPr>
              <w:jc w:val="center"/>
              <w:ind w:right="395"/>
              <w:spacing w:after="0"/>
              <w:rPr>
                <w:sz w:val="20"/>
                <w:szCs w:val="20"/>
                <w:color w:val="auto"/>
              </w:rPr>
            </w:pPr>
            <w:r>
              <w:rPr>
                <w:rFonts w:ascii="Arial" w:cs="Arial" w:eastAsia="Arial" w:hAnsi="Arial"/>
                <w:sz w:val="17"/>
                <w:szCs w:val="17"/>
                <w:b w:val="1"/>
                <w:bCs w:val="1"/>
                <w:color w:val="auto"/>
                <w:w w:val="88"/>
              </w:rPr>
              <w:t>June 30,</w:t>
            </w:r>
          </w:p>
        </w:tc>
        <w:tc>
          <w:tcPr>
            <w:tcW w:w="46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20"/>
        </w:trPr>
        <w:tc>
          <w:tcPr>
            <w:tcW w:w="50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46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07"/>
        </w:trPr>
        <w:tc>
          <w:tcPr>
            <w:tcW w:w="5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234"/>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Cost of revenue</w:t>
            </w:r>
          </w:p>
        </w:tc>
        <w:tc>
          <w:tcPr>
            <w:tcW w:w="100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w:t>
            </w:r>
          </w:p>
        </w:tc>
      </w:tr>
      <w:tr>
        <w:trPr>
          <w:trHeight w:val="228"/>
        </w:trPr>
        <w:tc>
          <w:tcPr>
            <w:tcW w:w="5060" w:type="dxa"/>
            <w:vAlign w:val="bottom"/>
          </w:tcPr>
          <w:p>
            <w:pPr>
              <w:ind w:left="260"/>
              <w:spacing w:after="0"/>
              <w:rPr>
                <w:sz w:val="20"/>
                <w:szCs w:val="20"/>
                <w:color w:val="auto"/>
              </w:rPr>
            </w:pPr>
            <w:r>
              <w:rPr>
                <w:rFonts w:ascii="Arial" w:cs="Arial" w:eastAsia="Arial" w:hAnsi="Arial"/>
                <w:sz w:val="17"/>
                <w:szCs w:val="17"/>
                <w:color w:val="auto"/>
              </w:rPr>
              <w:t>Research and development</w:t>
            </w:r>
          </w:p>
        </w:tc>
        <w:tc>
          <w:tcPr>
            <w:tcW w:w="100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ind w:right="15"/>
              <w:spacing w:after="0"/>
              <w:rPr>
                <w:sz w:val="20"/>
                <w:szCs w:val="20"/>
                <w:color w:val="auto"/>
              </w:rPr>
            </w:pPr>
            <w:r>
              <w:rPr>
                <w:rFonts w:ascii="Arial" w:cs="Arial" w:eastAsia="Arial" w:hAnsi="Arial"/>
                <w:sz w:val="17"/>
                <w:szCs w:val="17"/>
                <w:color w:val="auto"/>
              </w:rPr>
              <w:t>37.7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ind w:right="15"/>
              <w:spacing w:after="0"/>
              <w:rPr>
                <w:sz w:val="20"/>
                <w:szCs w:val="20"/>
                <w:color w:val="auto"/>
              </w:rPr>
            </w:pPr>
            <w:r>
              <w:rPr>
                <w:rFonts w:ascii="Arial" w:cs="Arial" w:eastAsia="Arial" w:hAnsi="Arial"/>
                <w:sz w:val="17"/>
                <w:szCs w:val="17"/>
                <w:color w:val="auto"/>
              </w:rPr>
              <w:t>84.2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ind w:right="15"/>
              <w:spacing w:after="0"/>
              <w:rPr>
                <w:sz w:val="20"/>
                <w:szCs w:val="20"/>
                <w:color w:val="auto"/>
              </w:rPr>
            </w:pPr>
            <w:r>
              <w:rPr>
                <w:rFonts w:ascii="Arial" w:cs="Arial" w:eastAsia="Arial" w:hAnsi="Arial"/>
                <w:sz w:val="17"/>
                <w:szCs w:val="17"/>
                <w:color w:val="auto"/>
              </w:rPr>
              <w:t>68.2</w:t>
            </w:r>
          </w:p>
        </w:tc>
      </w:tr>
      <w:tr>
        <w:trPr>
          <w:trHeight w:val="26"/>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Sales and marketing</w:t>
            </w: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15.9</w:t>
            </w:r>
          </w:p>
        </w:tc>
      </w:tr>
      <w:tr>
        <w:trPr>
          <w:trHeight w:val="319"/>
        </w:trPr>
        <w:tc>
          <w:tcPr>
            <w:tcW w:w="5060" w:type="dxa"/>
            <w:vAlign w:val="bottom"/>
          </w:tcPr>
          <w:p>
            <w:pPr>
              <w:ind w:left="26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(2)</w:t>
            </w:r>
          </w:p>
        </w:tc>
        <w:tc>
          <w:tcPr>
            <w:tcW w:w="1000" w:type="dxa"/>
            <w:vAlign w:val="bottom"/>
          </w:tcPr>
          <w:p>
            <w:pPr>
              <w:spacing w:after="0"/>
              <w:rPr>
                <w:sz w:val="24"/>
                <w:szCs w:val="24"/>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jc w:val="right"/>
              <w:ind w:right="15"/>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jc w:val="right"/>
              <w:ind w:right="15"/>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5"/>
              <w:spacing w:after="0"/>
              <w:rPr>
                <w:sz w:val="20"/>
                <w:szCs w:val="20"/>
                <w:color w:val="auto"/>
              </w:rPr>
            </w:pPr>
            <w:r>
              <w:rPr>
                <w:rFonts w:ascii="Arial" w:cs="Arial" w:eastAsia="Arial" w:hAnsi="Arial"/>
                <w:sz w:val="17"/>
                <w:szCs w:val="17"/>
                <w:color w:val="auto"/>
              </w:rPr>
              <w:t>31.9</w:t>
            </w:r>
          </w:p>
        </w:tc>
      </w:tr>
    </w:tbl>
    <w:p>
      <w:pPr>
        <w:spacing w:after="0" w:line="333" w:lineRule="exact"/>
        <w:rPr>
          <w:sz w:val="20"/>
          <w:szCs w:val="20"/>
          <w:color w:val="auto"/>
        </w:rPr>
      </w:pPr>
    </w:p>
    <w:p>
      <w:pPr>
        <w:ind w:left="60" w:right="40" w:hanging="8"/>
        <w:spacing w:after="0" w:line="251" w:lineRule="auto"/>
        <w:tabs>
          <w:tab w:leader="none" w:pos="204"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2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9"/>
        </w:trPr>
        <w:tc>
          <w:tcPr>
            <w:tcW w:w="4560" w:type="dxa"/>
            <w:vAlign w:val="bottom"/>
          </w:tcPr>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90"/>
        </w:trPr>
        <w:tc>
          <w:tcPr>
            <w:tcW w:w="4560" w:type="dxa"/>
            <w:vAlign w:val="bottom"/>
          </w:tcPr>
          <w:p>
            <w:pPr>
              <w:spacing w:after="0"/>
              <w:rPr>
                <w:sz w:val="24"/>
                <w:szCs w:val="24"/>
                <w:color w:val="auto"/>
              </w:rPr>
            </w:pPr>
          </w:p>
        </w:tc>
        <w:tc>
          <w:tcPr>
            <w:tcW w:w="2100" w:type="dxa"/>
            <w:vAlign w:val="bottom"/>
            <w:gridSpan w:val="4"/>
          </w:tcPr>
          <w:p>
            <w:pPr>
              <w:jc w:val="center"/>
              <w:spacing w:after="0"/>
              <w:rPr>
                <w:sz w:val="20"/>
                <w:szCs w:val="20"/>
                <w:color w:val="auto"/>
              </w:rPr>
            </w:pPr>
            <w:r>
              <w:rPr>
                <w:rFonts w:ascii="Arial" w:cs="Arial" w:eastAsia="Arial" w:hAnsi="Arial"/>
                <w:sz w:val="17"/>
                <w:szCs w:val="17"/>
                <w:b w:val="1"/>
                <w:bCs w:val="1"/>
                <w:color w:val="auto"/>
                <w:w w:val="98"/>
              </w:rPr>
              <w:t>DROPBOX, INC.</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9800" w:type="dxa"/>
            <w:vAlign w:val="bottom"/>
            <w:gridSpan w:val="11"/>
          </w:tcPr>
          <w:p>
            <w:pPr>
              <w:jc w:val="center"/>
              <w:ind w:left="1375"/>
              <w:spacing w:after="0"/>
              <w:rPr>
                <w:sz w:val="20"/>
                <w:szCs w:val="20"/>
                <w:color w:val="auto"/>
              </w:rPr>
            </w:pPr>
            <w:r>
              <w:rPr>
                <w:rFonts w:ascii="Arial" w:cs="Arial" w:eastAsia="Arial" w:hAnsi="Arial"/>
                <w:sz w:val="17"/>
                <w:szCs w:val="17"/>
                <w:b w:val="1"/>
                <w:bCs w:val="1"/>
                <w:color w:val="auto"/>
                <w:w w:val="99"/>
              </w:rPr>
              <w:t>CONDENSED CONSOLIDATED STATEMENTS OF COMPREHENSIVE INCOME (LOSS)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7"/>
                <w:szCs w:val="17"/>
                <w:i w:val="1"/>
                <w:iCs w:val="1"/>
                <w:color w:val="auto"/>
                <w:w w:val="96"/>
              </w:rPr>
              <w:t>(In millions)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5"/>
        </w:trPr>
        <w:tc>
          <w:tcPr>
            <w:tcW w:w="4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7"/>
                <w:szCs w:val="17"/>
                <w:i w:val="1"/>
                <w:iCs w:val="1"/>
                <w:color w:val="auto"/>
                <w:w w:val="92"/>
              </w:rPr>
              <w:t>(Unaudited)</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40"/>
        </w:trPr>
        <w:tc>
          <w:tcPr>
            <w:tcW w:w="4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5"/>
          </w:tcPr>
          <w:p>
            <w:pPr>
              <w:ind w:left="68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24"/>
                <w:szCs w:val="24"/>
                <w:color w:val="auto"/>
              </w:rPr>
            </w:pPr>
          </w:p>
        </w:tc>
        <w:tc>
          <w:tcPr>
            <w:tcW w:w="2660" w:type="dxa"/>
            <w:vAlign w:val="bottom"/>
            <w:gridSpan w:val="4"/>
          </w:tcPr>
          <w:p>
            <w:pPr>
              <w:jc w:val="right"/>
              <w:ind w:right="735"/>
              <w:spacing w:after="0"/>
              <w:rPr>
                <w:sz w:val="20"/>
                <w:szCs w:val="20"/>
                <w:color w:val="auto"/>
              </w:rPr>
            </w:pPr>
            <w:r>
              <w:rPr>
                <w:rFonts w:ascii="Arial" w:cs="Arial" w:eastAsia="Arial" w:hAnsi="Arial"/>
                <w:sz w:val="17"/>
                <w:szCs w:val="17"/>
                <w:b w:val="1"/>
                <w:bCs w:val="1"/>
                <w:color w:val="auto"/>
              </w:rPr>
              <w:t>Six Months Ended</w:t>
            </w:r>
          </w:p>
        </w:tc>
      </w:tr>
      <w:tr>
        <w:trPr>
          <w:trHeight w:val="219"/>
        </w:trPr>
        <w:tc>
          <w:tcPr>
            <w:tcW w:w="4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tcPr>
          <w:p>
            <w:pPr>
              <w:jc w:val="right"/>
              <w:ind w:right="75"/>
              <w:spacing w:after="0"/>
              <w:rPr>
                <w:sz w:val="20"/>
                <w:szCs w:val="20"/>
                <w:color w:val="auto"/>
              </w:rPr>
            </w:pPr>
            <w:r>
              <w:rPr>
                <w:rFonts w:ascii="Arial" w:cs="Arial" w:eastAsia="Arial" w:hAnsi="Arial"/>
                <w:sz w:val="17"/>
                <w:szCs w:val="17"/>
                <w:b w:val="1"/>
                <w:bCs w:val="1"/>
                <w:color w:val="auto"/>
              </w:rPr>
              <w:t>June 30,</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3"/>
          </w:tcPr>
          <w:p>
            <w:pPr>
              <w:jc w:val="right"/>
              <w:ind w:right="55"/>
              <w:spacing w:after="0"/>
              <w:rPr>
                <w:sz w:val="20"/>
                <w:szCs w:val="20"/>
                <w:color w:val="auto"/>
              </w:rPr>
            </w:pPr>
            <w:r>
              <w:rPr>
                <w:rFonts w:ascii="Arial" w:cs="Arial" w:eastAsia="Arial" w:hAnsi="Arial"/>
                <w:sz w:val="17"/>
                <w:szCs w:val="17"/>
                <w:b w:val="1"/>
                <w:bCs w:val="1"/>
                <w:color w:val="auto"/>
              </w:rPr>
              <w:t>June 30,</w:t>
            </w:r>
          </w:p>
        </w:tc>
        <w:tc>
          <w:tcPr>
            <w:tcW w:w="1040" w:type="dxa"/>
            <w:vAlign w:val="bottom"/>
          </w:tcPr>
          <w:p>
            <w:pPr>
              <w:spacing w:after="0"/>
              <w:rPr>
                <w:sz w:val="19"/>
                <w:szCs w:val="19"/>
                <w:color w:val="auto"/>
              </w:rPr>
            </w:pPr>
          </w:p>
        </w:tc>
      </w:tr>
      <w:tr>
        <w:trPr>
          <w:trHeight w:val="26"/>
        </w:trPr>
        <w:tc>
          <w:tcPr>
            <w:tcW w:w="4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4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455"/>
              <w:spacing w:after="0"/>
              <w:rPr>
                <w:sz w:val="20"/>
                <w:szCs w:val="20"/>
                <w:color w:val="auto"/>
              </w:rPr>
            </w:pPr>
            <w:r>
              <w:rPr>
                <w:rFonts w:ascii="Arial" w:cs="Arial" w:eastAsia="Arial" w:hAnsi="Arial"/>
                <w:sz w:val="17"/>
                <w:szCs w:val="17"/>
                <w:b w:val="1"/>
                <w:bCs w:val="1"/>
                <w:color w:val="auto"/>
              </w:rPr>
              <w:t>2019</w:t>
            </w:r>
          </w:p>
        </w:tc>
      </w:tr>
      <w:tr>
        <w:trPr>
          <w:trHeight w:val="26"/>
        </w:trPr>
        <w:tc>
          <w:tcPr>
            <w:tcW w:w="4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07"/>
        </w:trPr>
        <w:tc>
          <w:tcPr>
            <w:tcW w:w="4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3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28"/>
        </w:trPr>
        <w:tc>
          <w:tcPr>
            <w:tcW w:w="4560" w:type="dxa"/>
            <w:vAlign w:val="bottom"/>
          </w:tcPr>
          <w:p>
            <w:pPr>
              <w:ind w:left="20"/>
              <w:spacing w:after="0"/>
              <w:rPr>
                <w:sz w:val="20"/>
                <w:szCs w:val="20"/>
                <w:color w:val="auto"/>
              </w:rPr>
            </w:pPr>
            <w:r>
              <w:rPr>
                <w:rFonts w:ascii="Arial" w:cs="Arial" w:eastAsia="Arial" w:hAnsi="Arial"/>
                <w:sz w:val="17"/>
                <w:szCs w:val="17"/>
                <w:color w:val="auto"/>
              </w:rPr>
              <w:t>Other comprehensive income, net of tax:</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
        </w:trPr>
        <w:tc>
          <w:tcPr>
            <w:tcW w:w="4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4"/>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 in foreign currency translation adjustments</w:t>
            </w: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r>
      <w:tr>
        <w:trPr>
          <w:trHeight w:val="228"/>
        </w:trPr>
        <w:tc>
          <w:tcPr>
            <w:tcW w:w="4560" w:type="dxa"/>
            <w:vAlign w:val="bottom"/>
          </w:tcPr>
          <w:p>
            <w:pPr>
              <w:ind w:left="260"/>
              <w:spacing w:after="0"/>
              <w:rPr>
                <w:sz w:val="20"/>
                <w:szCs w:val="20"/>
                <w:color w:val="auto"/>
              </w:rPr>
            </w:pPr>
            <w:r>
              <w:rPr>
                <w:rFonts w:ascii="Arial" w:cs="Arial" w:eastAsia="Arial" w:hAnsi="Arial"/>
                <w:sz w:val="17"/>
                <w:szCs w:val="17"/>
                <w:color w:val="auto"/>
                <w:w w:val="98"/>
              </w:rPr>
              <w:t>Change in net unrealized gains on short-term investments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1.5</w:t>
            </w:r>
          </w:p>
        </w:tc>
      </w:tr>
      <w:tr>
        <w:trPr>
          <w:trHeight w:val="26"/>
        </w:trPr>
        <w:tc>
          <w:tcPr>
            <w:tcW w:w="45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comprehensive income, net of tax</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w:t>
            </w:r>
          </w:p>
        </w:tc>
      </w:tr>
      <w:tr>
        <w:trPr>
          <w:trHeight w:val="220"/>
        </w:trPr>
        <w:tc>
          <w:tcPr>
            <w:tcW w:w="456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5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60.9</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(26.0)</w:t>
            </w:r>
          </w:p>
        </w:tc>
      </w:tr>
      <w:tr>
        <w:trPr>
          <w:trHeight w:val="26"/>
        </w:trPr>
        <w:tc>
          <w:tcPr>
            <w:tcW w:w="4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23"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7"/>
          <w:szCs w:val="17"/>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98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3020" w:type="dxa"/>
            <w:vAlign w:val="bottom"/>
            <w:gridSpan w:val="3"/>
          </w:tcPr>
          <w:p>
            <w:pPr>
              <w:ind w:left="280"/>
              <w:spacing w:after="0"/>
              <w:rPr>
                <w:sz w:val="20"/>
                <w:szCs w:val="20"/>
                <w:color w:val="auto"/>
              </w:rPr>
            </w:pPr>
            <w:r>
              <w:rPr>
                <w:rFonts w:ascii="Arial" w:cs="Arial" w:eastAsia="Arial" w:hAnsi="Arial"/>
                <w:sz w:val="15"/>
                <w:szCs w:val="15"/>
                <w:b w:val="1"/>
                <w:bCs w:val="1"/>
                <w:color w:val="auto"/>
              </w:rPr>
              <w:t>Three months ended June 30, 2020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0" w:type="dxa"/>
            <w:vAlign w:val="bottom"/>
            <w:gridSpan w:val="3"/>
          </w:tcPr>
          <w:p>
            <w:pPr>
              <w:ind w:left="280"/>
              <w:spacing w:after="0"/>
              <w:rPr>
                <w:sz w:val="20"/>
                <w:szCs w:val="20"/>
                <w:color w:val="auto"/>
              </w:rPr>
            </w:pPr>
            <w:r>
              <w:rPr>
                <w:rFonts w:ascii="Arial" w:cs="Arial" w:eastAsia="Arial" w:hAnsi="Arial"/>
                <w:sz w:val="15"/>
                <w:szCs w:val="15"/>
                <w:b w:val="1"/>
                <w:bCs w:val="1"/>
                <w:color w:val="auto"/>
              </w:rPr>
              <w:t>Three months ended June 30, 2019</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0"/>
              </w:rPr>
              <w:t>Class A and</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Accumulated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0"/>
              </w:rPr>
              <w:t>Class A and</w:t>
            </w: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Accumulated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0"/>
              </w:rPr>
              <w:t>Class B Common</w:t>
            </w: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8"/>
              </w:rPr>
              <w:t>Class B common</w:t>
            </w: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160" w:type="dxa"/>
            <w:vAlign w:val="bottom"/>
            <w:vMerge w:val="continue"/>
          </w:tcPr>
          <w:p>
            <w:pPr>
              <w:spacing w:after="0"/>
              <w:rPr>
                <w:sz w:val="13"/>
                <w:szCs w:val="13"/>
                <w:color w:val="auto"/>
              </w:rPr>
            </w:pPr>
          </w:p>
        </w:tc>
        <w:tc>
          <w:tcPr>
            <w:tcW w:w="90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2"/>
              </w:rPr>
              <w:t>Additional</w:t>
            </w:r>
          </w:p>
        </w:tc>
        <w:tc>
          <w:tcPr>
            <w:tcW w:w="1000" w:type="dxa"/>
            <w:vAlign w:val="bottom"/>
          </w:tcPr>
          <w:p>
            <w:pPr>
              <w:spacing w:after="0"/>
              <w:rPr>
                <w:sz w:val="13"/>
                <w:szCs w:val="13"/>
                <w:color w:val="auto"/>
              </w:rPr>
            </w:pPr>
          </w:p>
        </w:tc>
        <w:tc>
          <w:tcPr>
            <w:tcW w:w="112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0"/>
              </w:rPr>
              <w:t>other</w:t>
            </w:r>
          </w:p>
        </w:tc>
        <w:tc>
          <w:tcPr>
            <w:tcW w:w="1040" w:type="dxa"/>
            <w:vAlign w:val="bottom"/>
            <w:gridSpan w:val="2"/>
          </w:tcPr>
          <w:p>
            <w:pPr>
              <w:jc w:val="center"/>
              <w:ind w:right="60"/>
              <w:spacing w:after="0" w:line="152" w:lineRule="exact"/>
              <w:rPr>
                <w:sz w:val="20"/>
                <w:szCs w:val="20"/>
                <w:color w:val="auto"/>
              </w:rPr>
            </w:pPr>
            <w:r>
              <w:rPr>
                <w:rFonts w:ascii="Arial" w:cs="Arial" w:eastAsia="Arial" w:hAnsi="Arial"/>
                <w:sz w:val="15"/>
                <w:szCs w:val="15"/>
                <w:b w:val="1"/>
                <w:bCs w:val="1"/>
                <w:color w:val="auto"/>
                <w:w w:val="94"/>
              </w:rPr>
              <w:t>Total</w:t>
            </w:r>
          </w:p>
        </w:tc>
        <w:tc>
          <w:tcPr>
            <w:tcW w:w="1180" w:type="dxa"/>
            <w:vAlign w:val="bottom"/>
            <w:vMerge w:val="continue"/>
          </w:tcPr>
          <w:p>
            <w:pPr>
              <w:spacing w:after="0"/>
              <w:rPr>
                <w:sz w:val="13"/>
                <w:szCs w:val="13"/>
                <w:color w:val="auto"/>
              </w:rPr>
            </w:pPr>
          </w:p>
        </w:tc>
        <w:tc>
          <w:tcPr>
            <w:tcW w:w="88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5"/>
              </w:rPr>
              <w:t>Additional</w:t>
            </w:r>
          </w:p>
        </w:tc>
        <w:tc>
          <w:tcPr>
            <w:tcW w:w="1000" w:type="dxa"/>
            <w:vAlign w:val="bottom"/>
          </w:tcPr>
          <w:p>
            <w:pPr>
              <w:spacing w:after="0"/>
              <w:rPr>
                <w:sz w:val="13"/>
                <w:szCs w:val="13"/>
                <w:color w:val="auto"/>
              </w:rPr>
            </w:pPr>
          </w:p>
        </w:tc>
        <w:tc>
          <w:tcPr>
            <w:tcW w:w="112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0"/>
              </w:rPr>
              <w:t>other</w:t>
            </w:r>
          </w:p>
        </w:tc>
        <w:tc>
          <w:tcPr>
            <w:tcW w:w="96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203"/>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Stock</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95"/>
              </w:rPr>
              <w:t>paid in</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1"/>
              </w:rPr>
              <w:t>Accumulated</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7"/>
              </w:rPr>
              <w:t>comprehensive</w:t>
            </w:r>
          </w:p>
        </w:tc>
        <w:tc>
          <w:tcPr>
            <w:tcW w:w="104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8"/>
              </w:rPr>
              <w:t>stockholders'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stock</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w w:val="97"/>
              </w:rPr>
              <w:t>paid-in</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3"/>
              </w:rPr>
              <w:t>Accumulated</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9"/>
              </w:rPr>
              <w:t>comprehensive</w:t>
            </w:r>
          </w:p>
        </w:tc>
        <w:tc>
          <w:tcPr>
            <w:tcW w:w="960" w:type="dxa"/>
            <w:vAlign w:val="bottom"/>
          </w:tcPr>
          <w:p>
            <w:pPr>
              <w:jc w:val="center"/>
              <w:ind w:left="4"/>
              <w:spacing w:after="0"/>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202"/>
        </w:trPr>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7"/>
              </w:rPr>
              <w:t>Shares  Amount</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92"/>
              </w:rPr>
              <w:t>capital</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4"/>
              </w:rPr>
              <w:t>deficit</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8"/>
              </w:rPr>
              <w:t>income (loss)</w:t>
            </w:r>
          </w:p>
        </w:tc>
        <w:tc>
          <w:tcPr>
            <w:tcW w:w="104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4"/>
              </w:rPr>
              <w:t>equity</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7"/>
              </w:rPr>
              <w:t>Shares  Amount</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w w:val="92"/>
              </w:rPr>
              <w:t>capital</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0"/>
              </w:rPr>
              <w:t>deficit</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6"/>
              </w:rPr>
              <w:t>income (loss)</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4"/>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199630" cy="394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9630" cy="39497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Arial" w:cs="Arial" w:eastAsia="Arial" w:hAnsi="Arial"/>
                <w:sz w:val="15"/>
                <w:szCs w:val="15"/>
                <w:b w:val="1"/>
                <w:bCs w:val="1"/>
                <w:color w:val="auto"/>
              </w:rPr>
              <w:t>Balances at</w:t>
            </w: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b w:val="1"/>
                <w:bCs w:val="1"/>
                <w:color w:val="auto"/>
              </w:rPr>
              <w:t>beginning of</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5"/>
                <w:szCs w:val="15"/>
                <w:b w:val="1"/>
                <w:bCs w:val="1"/>
                <w:color w:val="auto"/>
              </w:rPr>
              <w:t>period</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415.1</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w w:val="95"/>
              </w:rPr>
              <w:t>$ 2,528.5</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4"/>
              <w:spacing w:after="0"/>
              <w:rPr>
                <w:sz w:val="20"/>
                <w:szCs w:val="20"/>
                <w:color w:val="auto"/>
              </w:rPr>
            </w:pPr>
            <w:r>
              <w:rPr>
                <w:rFonts w:ascii="Arial" w:cs="Arial" w:eastAsia="Arial" w:hAnsi="Arial"/>
                <w:sz w:val="15"/>
                <w:szCs w:val="15"/>
                <w:color w:val="auto"/>
                <w:w w:val="99"/>
              </w:rPr>
              <w:t>(1,726.6)</w:t>
            </w:r>
          </w:p>
        </w:tc>
        <w:tc>
          <w:tcPr>
            <w:tcW w:w="10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Release of</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w w:val="93"/>
              </w:rPr>
              <w:t>restricted stock</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units</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Shares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repurchased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for tax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withholdings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on release of</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w w:val="93"/>
              </w:rPr>
              <w:t>restricted stock</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units and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awards</w:t>
            </w:r>
          </w:p>
        </w:tc>
        <w:tc>
          <w:tcPr>
            <w:tcW w:w="48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Repurchases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of common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stock</w:t>
            </w:r>
          </w:p>
        </w:tc>
        <w:tc>
          <w:tcPr>
            <w:tcW w:w="48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(41.2)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Exercise of</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stock options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and awards</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Stock-based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compensation</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76.6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Other</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w w:val="92"/>
              </w:rPr>
              <w:t>comprehensive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income</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8.9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Net income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(loss)</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960" w:type="dxa"/>
            <w:vAlign w:val="bottom"/>
            <w:vMerge w:val="restart"/>
          </w:tcPr>
          <w:p>
            <w:pPr>
              <w:spacing w:after="0"/>
              <w:rPr>
                <w:sz w:val="20"/>
                <w:szCs w:val="20"/>
                <w:color w:val="auto"/>
              </w:rPr>
            </w:pPr>
            <w:r>
              <w:rPr>
                <w:rFonts w:ascii="Arial" w:cs="Arial" w:eastAsia="Arial" w:hAnsi="Arial"/>
                <w:sz w:val="15"/>
                <w:szCs w:val="15"/>
                <w:b w:val="1"/>
                <w:bCs w:val="1"/>
                <w:color w:val="auto"/>
              </w:rPr>
              <w:t>Balances at</w:t>
            </w: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vMerge w:val="continue"/>
          </w:tcPr>
          <w:p>
            <w:pPr>
              <w:spacing w:after="0"/>
              <w:rPr>
                <w:sz w:val="15"/>
                <w:szCs w:val="15"/>
                <w:color w:val="auto"/>
              </w:rPr>
            </w:pPr>
          </w:p>
        </w:tc>
        <w:tc>
          <w:tcPr>
            <w:tcW w:w="480" w:type="dxa"/>
            <w:vAlign w:val="bottom"/>
            <w:vMerge w:val="restart"/>
          </w:tcPr>
          <w:p>
            <w:pPr>
              <w:jc w:val="right"/>
              <w:ind w:right="4"/>
              <w:spacing w:after="0"/>
              <w:rPr>
                <w:sz w:val="20"/>
                <w:szCs w:val="20"/>
                <w:color w:val="auto"/>
              </w:rPr>
            </w:pPr>
            <w:r>
              <w:rPr>
                <w:rFonts w:ascii="Arial" w:cs="Arial" w:eastAsia="Arial" w:hAnsi="Arial"/>
                <w:sz w:val="15"/>
                <w:szCs w:val="15"/>
                <w:color w:val="auto"/>
              </w:rPr>
              <w:t>413.8</w:t>
            </w:r>
          </w:p>
        </w:tc>
        <w:tc>
          <w:tcPr>
            <w:tcW w:w="100" w:type="dxa"/>
            <w:vAlign w:val="bottom"/>
          </w:tcPr>
          <w:p>
            <w:pPr>
              <w:spacing w:after="0"/>
              <w:rPr>
                <w:sz w:val="15"/>
                <w:szCs w:val="15"/>
                <w:color w:val="auto"/>
              </w:rPr>
            </w:pPr>
          </w:p>
        </w:tc>
        <w:tc>
          <w:tcPr>
            <w:tcW w:w="220" w:type="dxa"/>
            <w:vAlign w:val="bottom"/>
            <w:vMerge w:val="restart"/>
          </w:tcPr>
          <w:p>
            <w:pPr>
              <w:jc w:val="right"/>
              <w:ind w:right="44"/>
              <w:spacing w:after="0"/>
              <w:rPr>
                <w:sz w:val="20"/>
                <w:szCs w:val="20"/>
                <w:color w:val="auto"/>
              </w:rPr>
            </w:pPr>
            <w:r>
              <w:rPr>
                <w:rFonts w:ascii="Arial" w:cs="Arial" w:eastAsia="Arial" w:hAnsi="Arial"/>
                <w:sz w:val="15"/>
                <w:szCs w:val="15"/>
                <w:color w:val="auto"/>
                <w:w w:val="95"/>
              </w:rPr>
              <w:t>$</w:t>
            </w:r>
          </w:p>
        </w:tc>
        <w:tc>
          <w:tcPr>
            <w:tcW w:w="460" w:type="dxa"/>
            <w:vAlign w:val="bottom"/>
            <w:gridSpan w:val="2"/>
            <w:vMerge w:val="restart"/>
          </w:tcPr>
          <w:p>
            <w:pPr>
              <w:ind w:left="10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44"/>
              <w:spacing w:after="0"/>
              <w:rPr>
                <w:sz w:val="20"/>
                <w:szCs w:val="20"/>
                <w:color w:val="auto"/>
              </w:rPr>
            </w:pPr>
            <w:r>
              <w:rPr>
                <w:rFonts w:ascii="Arial" w:cs="Arial" w:eastAsia="Arial" w:hAnsi="Arial"/>
                <w:sz w:val="15"/>
                <w:szCs w:val="15"/>
                <w:color w:val="auto"/>
                <w:w w:val="95"/>
              </w:rPr>
              <w:t>$ 2,560.4</w:t>
            </w:r>
          </w:p>
        </w:tc>
        <w:tc>
          <w:tcPr>
            <w:tcW w:w="100" w:type="dxa"/>
            <w:vAlign w:val="bottom"/>
          </w:tcPr>
          <w:p>
            <w:pPr>
              <w:spacing w:after="0"/>
              <w:rPr>
                <w:sz w:val="15"/>
                <w:szCs w:val="15"/>
                <w:color w:val="auto"/>
              </w:rPr>
            </w:pPr>
          </w:p>
        </w:tc>
        <w:tc>
          <w:tcPr>
            <w:tcW w:w="180" w:type="dxa"/>
            <w:vAlign w:val="bottom"/>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ind w:right="24"/>
              <w:spacing w:after="0"/>
              <w:rPr>
                <w:sz w:val="20"/>
                <w:szCs w:val="20"/>
                <w:color w:val="auto"/>
              </w:rPr>
            </w:pPr>
            <w:r>
              <w:rPr>
                <w:rFonts w:ascii="Arial" w:cs="Arial" w:eastAsia="Arial" w:hAnsi="Arial"/>
                <w:sz w:val="15"/>
                <w:szCs w:val="15"/>
                <w:color w:val="auto"/>
                <w:w w:val="99"/>
              </w:rPr>
              <w:t>(1,764.4)</w:t>
            </w:r>
          </w:p>
        </w:tc>
        <w:tc>
          <w:tcPr>
            <w:tcW w:w="100" w:type="dxa"/>
            <w:vAlign w:val="bottom"/>
          </w:tcPr>
          <w:p>
            <w:pPr>
              <w:spacing w:after="0"/>
              <w:rPr>
                <w:sz w:val="15"/>
                <w:szCs w:val="15"/>
                <w:color w:val="auto"/>
              </w:rPr>
            </w:pPr>
          </w:p>
        </w:tc>
        <w:tc>
          <w:tcPr>
            <w:tcW w:w="380" w:type="dxa"/>
            <w:vAlign w:val="bottom"/>
            <w:vMerge w:val="restart"/>
          </w:tcPr>
          <w:p>
            <w:pPr>
              <w:jc w:val="right"/>
              <w:ind w:right="204"/>
              <w:spacing w:after="0"/>
              <w:rPr>
                <w:sz w:val="20"/>
                <w:szCs w:val="20"/>
                <w:color w:val="auto"/>
              </w:rPr>
            </w:pPr>
            <w:r>
              <w:rPr>
                <w:rFonts w:ascii="Arial" w:cs="Arial" w:eastAsia="Arial" w:hAnsi="Arial"/>
                <w:sz w:val="15"/>
                <w:szCs w:val="15"/>
                <w:color w:val="auto"/>
                <w:w w:val="95"/>
              </w:rPr>
              <w:t>$</w:t>
            </w:r>
          </w:p>
        </w:tc>
        <w:tc>
          <w:tcPr>
            <w:tcW w:w="640" w:type="dxa"/>
            <w:vAlign w:val="bottom"/>
            <w:vMerge w:val="restart"/>
          </w:tcPr>
          <w:p>
            <w:pPr>
              <w:jc w:val="right"/>
              <w:ind w:right="64"/>
              <w:spacing w:after="0"/>
              <w:rPr>
                <w:sz w:val="20"/>
                <w:szCs w:val="20"/>
                <w:color w:val="auto"/>
              </w:rPr>
            </w:pPr>
            <w:r>
              <w:rPr>
                <w:rFonts w:ascii="Arial" w:cs="Arial" w:eastAsia="Arial" w:hAnsi="Arial"/>
                <w:sz w:val="15"/>
                <w:szCs w:val="15"/>
                <w:color w:val="auto"/>
              </w:rPr>
              <w:t>7.4</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960" w:type="dxa"/>
            <w:vAlign w:val="bottom"/>
          </w:tcPr>
          <w:p>
            <w:pPr>
              <w:spacing w:after="0"/>
              <w:rPr>
                <w:sz w:val="20"/>
                <w:szCs w:val="20"/>
                <w:color w:val="auto"/>
              </w:rPr>
            </w:pPr>
            <w:r>
              <w:rPr>
                <w:rFonts w:ascii="Arial" w:cs="Arial" w:eastAsia="Arial" w:hAnsi="Arial"/>
                <w:sz w:val="15"/>
                <w:szCs w:val="15"/>
                <w:b w:val="1"/>
                <w:bCs w:val="1"/>
                <w:color w:val="auto"/>
                <w:w w:val="98"/>
              </w:rPr>
              <w:t>end of period</w:t>
            </w: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Pr>
          <w:p>
            <w:pPr>
              <w:jc w:val="right"/>
              <w:ind w:right="64"/>
              <w:spacing w:after="0"/>
              <w:rPr>
                <w:sz w:val="20"/>
                <w:szCs w:val="20"/>
                <w:color w:val="auto"/>
              </w:rPr>
            </w:pPr>
            <w:r>
              <w:rPr>
                <w:rFonts w:ascii="Arial" w:cs="Arial" w:eastAsia="Arial" w:hAnsi="Arial"/>
                <w:sz w:val="15"/>
                <w:szCs w:val="15"/>
                <w:color w:val="auto"/>
                <w:w w:val="85"/>
              </w:rPr>
              <w:t>800.4</w:t>
            </w:r>
          </w:p>
        </w:tc>
        <w:tc>
          <w:tcPr>
            <w:tcW w:w="600" w:type="dxa"/>
            <w:vAlign w:val="bottom"/>
          </w:tcPr>
          <w:p>
            <w:pPr>
              <w:jc w:val="right"/>
              <w:ind w:right="24"/>
              <w:spacing w:after="0"/>
              <w:rPr>
                <w:sz w:val="20"/>
                <w:szCs w:val="20"/>
                <w:color w:val="auto"/>
              </w:rPr>
            </w:pPr>
            <w:r>
              <w:rPr>
                <w:rFonts w:ascii="Arial" w:cs="Arial" w:eastAsia="Arial" w:hAnsi="Arial"/>
                <w:sz w:val="15"/>
                <w:szCs w:val="15"/>
                <w:color w:val="auto"/>
              </w:rPr>
              <w:t>411.4</w:t>
            </w:r>
          </w:p>
        </w:tc>
        <w:tc>
          <w:tcPr>
            <w:tcW w:w="3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380" w:type="dxa"/>
            <w:vAlign w:val="bottom"/>
          </w:tcPr>
          <w:p>
            <w:pPr>
              <w:ind w:left="10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$ 2,377.8</w:t>
            </w: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  (1,674.7)</w:t>
            </w:r>
          </w:p>
        </w:tc>
        <w:tc>
          <w:tcPr>
            <w:tcW w:w="50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1.8</w:t>
            </w:r>
          </w:p>
        </w:tc>
        <w:tc>
          <w:tcPr>
            <w:tcW w:w="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704.9</w:t>
            </w:r>
          </w:p>
        </w:tc>
      </w:tr>
      <w:tr>
        <w:trPr>
          <w:trHeight w:val="622"/>
        </w:trPr>
        <w:tc>
          <w:tcPr>
            <w:tcW w:w="4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4"/>
              <w:spacing w:after="0"/>
              <w:rPr>
                <w:sz w:val="20"/>
                <w:szCs w:val="20"/>
                <w:color w:val="auto"/>
              </w:rPr>
            </w:pPr>
            <w:r>
              <w:rPr>
                <w:rFonts w:ascii="Arial" w:cs="Arial" w:eastAsia="Arial" w:hAnsi="Arial"/>
                <w:sz w:val="15"/>
                <w:szCs w:val="15"/>
                <w:color w:val="auto"/>
              </w:rPr>
              <w:t>2.9</w:t>
            </w:r>
          </w:p>
        </w:tc>
        <w:tc>
          <w:tcPr>
            <w:tcW w:w="30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4"/>
                <w:szCs w:val="24"/>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20320</wp:posOffset>
            </wp:positionV>
            <wp:extent cx="7199630" cy="999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9630" cy="99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jc w:val="right"/>
              <w:ind w:right="124"/>
              <w:spacing w:after="0"/>
              <w:rPr>
                <w:sz w:val="20"/>
                <w:szCs w:val="20"/>
                <w:color w:val="auto"/>
              </w:rPr>
            </w:pPr>
            <w:r>
              <w:rPr>
                <w:rFonts w:ascii="Arial" w:cs="Arial" w:eastAsia="Arial" w:hAnsi="Arial"/>
                <w:sz w:val="15"/>
                <w:szCs w:val="15"/>
                <w:color w:val="auto"/>
                <w:w w:val="91"/>
              </w:rPr>
              <w:t>(25.1)</w:t>
            </w:r>
          </w:p>
        </w:tc>
        <w:tc>
          <w:tcPr>
            <w:tcW w:w="5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(18.6)</w:t>
            </w:r>
          </w:p>
        </w:tc>
        <w:tc>
          <w:tcPr>
            <w:tcW w:w="10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(22.6)</w:t>
            </w:r>
          </w:p>
        </w:tc>
      </w:tr>
      <w:tr>
        <w:trPr>
          <w:trHeight w:val="622"/>
        </w:trPr>
        <w:tc>
          <w:tcPr>
            <w:tcW w:w="580" w:type="dxa"/>
            <w:vAlign w:val="bottom"/>
          </w:tcPr>
          <w:p>
            <w:pPr>
              <w:jc w:val="right"/>
              <w:ind w:right="124"/>
              <w:spacing w:after="0"/>
              <w:rPr>
                <w:sz w:val="20"/>
                <w:szCs w:val="20"/>
                <w:color w:val="auto"/>
              </w:rPr>
            </w:pPr>
            <w:r>
              <w:rPr>
                <w:rFonts w:ascii="Arial" w:cs="Arial" w:eastAsia="Arial" w:hAnsi="Arial"/>
                <w:sz w:val="15"/>
                <w:szCs w:val="15"/>
                <w:color w:val="auto"/>
                <w:w w:val="91"/>
              </w:rPr>
              <w:t>(75.8)</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622"/>
        </w:trPr>
        <w:tc>
          <w:tcPr>
            <w:tcW w:w="580" w:type="dxa"/>
            <w:vAlign w:val="bottom"/>
          </w:tcPr>
          <w:p>
            <w:pPr>
              <w:jc w:val="right"/>
              <w:ind w:right="164"/>
              <w:spacing w:after="0"/>
              <w:rPr>
                <w:sz w:val="20"/>
                <w:szCs w:val="20"/>
                <w:color w:val="auto"/>
              </w:rPr>
            </w:pPr>
            <w:r>
              <w:rPr>
                <w:rFonts w:ascii="Arial" w:cs="Arial" w:eastAsia="Arial" w:hAnsi="Arial"/>
                <w:sz w:val="15"/>
                <w:szCs w:val="15"/>
                <w:color w:val="auto"/>
              </w:rPr>
              <w:t>0.9</w:t>
            </w:r>
          </w:p>
        </w:tc>
        <w:tc>
          <w:tcPr>
            <w:tcW w:w="500" w:type="dxa"/>
            <w:vAlign w:val="bottom"/>
          </w:tcPr>
          <w:p>
            <w:pPr>
              <w:jc w:val="right"/>
              <w:ind w:right="24"/>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1.1</w:t>
            </w:r>
          </w:p>
        </w:tc>
      </w:tr>
      <w:tr>
        <w:trPr>
          <w:trHeight w:val="432"/>
        </w:trPr>
        <w:tc>
          <w:tcPr>
            <w:tcW w:w="580" w:type="dxa"/>
            <w:vAlign w:val="bottom"/>
          </w:tcPr>
          <w:p>
            <w:pPr>
              <w:jc w:val="right"/>
              <w:ind w:right="164"/>
              <w:spacing w:after="0"/>
              <w:rPr>
                <w:sz w:val="20"/>
                <w:szCs w:val="20"/>
                <w:color w:val="auto"/>
              </w:rPr>
            </w:pPr>
            <w:r>
              <w:rPr>
                <w:rFonts w:ascii="Arial" w:cs="Arial" w:eastAsia="Arial" w:hAnsi="Arial"/>
                <w:sz w:val="15"/>
                <w:szCs w:val="15"/>
                <w:color w:val="auto"/>
              </w:rPr>
              <w:t>76.6</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68.1</w:t>
            </w:r>
          </w:p>
        </w:tc>
        <w:tc>
          <w:tcPr>
            <w:tcW w:w="10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68.1</w:t>
            </w:r>
          </w:p>
        </w:tc>
      </w:tr>
      <w:tr>
        <w:trPr>
          <w:trHeight w:val="622"/>
        </w:trPr>
        <w:tc>
          <w:tcPr>
            <w:tcW w:w="580" w:type="dxa"/>
            <w:vAlign w:val="bottom"/>
          </w:tcPr>
          <w:p>
            <w:pPr>
              <w:jc w:val="right"/>
              <w:ind w:right="164"/>
              <w:spacing w:after="0"/>
              <w:rPr>
                <w:sz w:val="20"/>
                <w:szCs w:val="20"/>
                <w:color w:val="auto"/>
              </w:rPr>
            </w:pPr>
            <w:r>
              <w:rPr>
                <w:rFonts w:ascii="Arial" w:cs="Arial" w:eastAsia="Arial" w:hAnsi="Arial"/>
                <w:sz w:val="15"/>
                <w:szCs w:val="15"/>
                <w:color w:val="auto"/>
              </w:rPr>
              <w:t>8.9</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0.1</w:t>
            </w:r>
          </w:p>
        </w:tc>
      </w:tr>
      <w:tr>
        <w:trPr>
          <w:trHeight w:val="432"/>
        </w:trPr>
        <w:tc>
          <w:tcPr>
            <w:tcW w:w="580" w:type="dxa"/>
            <w:vAlign w:val="bottom"/>
          </w:tcPr>
          <w:p>
            <w:pPr>
              <w:jc w:val="right"/>
              <w:ind w:right="164"/>
              <w:spacing w:after="0"/>
              <w:rPr>
                <w:sz w:val="20"/>
                <w:szCs w:val="20"/>
                <w:color w:val="auto"/>
              </w:rPr>
            </w:pPr>
            <w:r>
              <w:rPr>
                <w:rFonts w:ascii="Arial" w:cs="Arial" w:eastAsia="Arial" w:hAnsi="Arial"/>
                <w:sz w:val="15"/>
                <w:szCs w:val="15"/>
                <w:color w:val="auto"/>
              </w:rPr>
              <w:t>17.5</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(21.4)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(21.4)</w:t>
            </w:r>
          </w:p>
        </w:tc>
      </w:tr>
      <w:tr>
        <w:trPr>
          <w:trHeight w:val="32"/>
        </w:trPr>
        <w:tc>
          <w:tcPr>
            <w:tcW w:w="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67"/>
        </w:trPr>
        <w:tc>
          <w:tcPr>
            <w:tcW w:w="580" w:type="dxa"/>
            <w:vAlign w:val="bottom"/>
          </w:tcPr>
          <w:p>
            <w:pPr>
              <w:jc w:val="right"/>
              <w:ind w:right="164"/>
              <w:spacing w:after="0"/>
              <w:rPr>
                <w:sz w:val="20"/>
                <w:szCs w:val="20"/>
                <w:color w:val="auto"/>
              </w:rPr>
            </w:pPr>
            <w:r>
              <w:rPr>
                <w:rFonts w:ascii="Arial" w:cs="Arial" w:eastAsia="Arial" w:hAnsi="Arial"/>
                <w:sz w:val="15"/>
                <w:szCs w:val="15"/>
                <w:color w:val="auto"/>
                <w:w w:val="85"/>
              </w:rPr>
              <w:t>803.4</w:t>
            </w:r>
          </w:p>
        </w:tc>
        <w:tc>
          <w:tcPr>
            <w:tcW w:w="500" w:type="dxa"/>
            <w:vAlign w:val="bottom"/>
          </w:tcPr>
          <w:p>
            <w:pPr>
              <w:jc w:val="right"/>
              <w:ind w:right="24"/>
              <w:spacing w:after="0"/>
              <w:rPr>
                <w:sz w:val="20"/>
                <w:szCs w:val="20"/>
                <w:color w:val="auto"/>
              </w:rPr>
            </w:pPr>
            <w:r>
              <w:rPr>
                <w:rFonts w:ascii="Arial" w:cs="Arial" w:eastAsia="Arial" w:hAnsi="Arial"/>
                <w:sz w:val="15"/>
                <w:szCs w:val="15"/>
                <w:color w:val="auto"/>
              </w:rPr>
              <w:t>413.4</w:t>
            </w: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   —</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w w:val="92"/>
              </w:rPr>
              <w:t>$ 2,428.4</w:t>
            </w:r>
          </w:p>
        </w:tc>
        <w:tc>
          <w:tcPr>
            <w:tcW w:w="10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  (1,700.1)</w:t>
            </w:r>
          </w:p>
        </w:tc>
        <w:tc>
          <w:tcPr>
            <w:tcW w:w="100" w:type="dxa"/>
            <w:vAlign w:val="bottom"/>
          </w:tcPr>
          <w:p>
            <w:pPr>
              <w:spacing w:after="0"/>
              <w:rPr>
                <w:sz w:val="24"/>
                <w:szCs w:val="24"/>
                <w:color w:val="auto"/>
              </w:rPr>
            </w:pP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4"/>
                <w:szCs w:val="24"/>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730.2</w:t>
            </w:r>
          </w:p>
        </w:tc>
      </w:tr>
      <w:tr>
        <w:trPr>
          <w:trHeight w:val="32"/>
        </w:trPr>
        <w:tc>
          <w:tcPr>
            <w:tcW w:w="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-1627505</wp:posOffset>
            </wp:positionV>
            <wp:extent cx="7199630" cy="394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9630" cy="39497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-958215</wp:posOffset>
            </wp:positionV>
            <wp:extent cx="7199630" cy="394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9630" cy="39497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-289560</wp:posOffset>
            </wp:positionV>
            <wp:extent cx="7199630" cy="290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9630" cy="290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20"/>
            <w:col w:w="5720"/>
          </w:cols>
          <w:pgMar w:left="320" w:top="12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40"/>
          </w:cols>
          <w:pgMar w:left="320" w:top="123" w:right="239" w:bottom="1440" w:gutter="0" w:footer="0" w:header="0"/>
          <w:type w:val="continuous"/>
        </w:sectPr>
      </w:pPr>
    </w:p>
    <w:bookmarkStart w:id="8" w:name="page9"/>
    <w:bookmarkEnd w:id="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80" w:lineRule="exact"/>
        <w:rPr>
          <w:sz w:val="20"/>
          <w:szCs w:val="20"/>
          <w:color w:val="auto"/>
        </w:rPr>
      </w:pPr>
    </w:p>
    <w:tbl>
      <w:tblPr>
        <w:tblLayout w:type="fixed"/>
        <w:tblInd w:w="98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3020" w:type="dxa"/>
            <w:vAlign w:val="bottom"/>
            <w:gridSpan w:val="3"/>
          </w:tcPr>
          <w:p>
            <w:pPr>
              <w:ind w:left="380"/>
              <w:spacing w:after="0"/>
              <w:rPr>
                <w:sz w:val="20"/>
                <w:szCs w:val="20"/>
                <w:color w:val="auto"/>
              </w:rPr>
            </w:pPr>
            <w:r>
              <w:rPr>
                <w:rFonts w:ascii="Arial" w:cs="Arial" w:eastAsia="Arial" w:hAnsi="Arial"/>
                <w:sz w:val="15"/>
                <w:szCs w:val="15"/>
                <w:b w:val="1"/>
                <w:bCs w:val="1"/>
                <w:color w:val="auto"/>
              </w:rPr>
              <w:t>Six months ended June 30, 2020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0" w:type="dxa"/>
            <w:vAlign w:val="bottom"/>
            <w:gridSpan w:val="3"/>
          </w:tcPr>
          <w:p>
            <w:pPr>
              <w:ind w:left="360"/>
              <w:spacing w:after="0"/>
              <w:rPr>
                <w:sz w:val="20"/>
                <w:szCs w:val="20"/>
                <w:color w:val="auto"/>
              </w:rPr>
            </w:pPr>
            <w:r>
              <w:rPr>
                <w:rFonts w:ascii="Arial" w:cs="Arial" w:eastAsia="Arial" w:hAnsi="Arial"/>
                <w:sz w:val="15"/>
                <w:szCs w:val="15"/>
                <w:b w:val="1"/>
                <w:bCs w:val="1"/>
                <w:color w:val="auto"/>
              </w:rPr>
              <w:t>Six months ended June 30, 2019</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0"/>
              </w:rPr>
              <w:t>Class A and</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Accumulated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0"/>
              </w:rPr>
              <w:t>Class A and</w:t>
            </w: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Accumulated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0"/>
              </w:rPr>
              <w:t>Class B Common</w:t>
            </w: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8"/>
              </w:rPr>
              <w:t>Class B common</w:t>
            </w: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160" w:type="dxa"/>
            <w:vAlign w:val="bottom"/>
            <w:vMerge w:val="continue"/>
          </w:tcPr>
          <w:p>
            <w:pPr>
              <w:spacing w:after="0"/>
              <w:rPr>
                <w:sz w:val="13"/>
                <w:szCs w:val="13"/>
                <w:color w:val="auto"/>
              </w:rPr>
            </w:pPr>
          </w:p>
        </w:tc>
        <w:tc>
          <w:tcPr>
            <w:tcW w:w="90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2"/>
              </w:rPr>
              <w:t>Additional</w:t>
            </w:r>
          </w:p>
        </w:tc>
        <w:tc>
          <w:tcPr>
            <w:tcW w:w="1000" w:type="dxa"/>
            <w:vAlign w:val="bottom"/>
          </w:tcPr>
          <w:p>
            <w:pPr>
              <w:spacing w:after="0"/>
              <w:rPr>
                <w:sz w:val="13"/>
                <w:szCs w:val="13"/>
                <w:color w:val="auto"/>
              </w:rPr>
            </w:pPr>
          </w:p>
        </w:tc>
        <w:tc>
          <w:tcPr>
            <w:tcW w:w="112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0"/>
              </w:rPr>
              <w:t>other</w:t>
            </w:r>
          </w:p>
        </w:tc>
        <w:tc>
          <w:tcPr>
            <w:tcW w:w="1040" w:type="dxa"/>
            <w:vAlign w:val="bottom"/>
            <w:gridSpan w:val="2"/>
          </w:tcPr>
          <w:p>
            <w:pPr>
              <w:jc w:val="center"/>
              <w:ind w:right="60"/>
              <w:spacing w:after="0" w:line="152" w:lineRule="exact"/>
              <w:rPr>
                <w:sz w:val="20"/>
                <w:szCs w:val="20"/>
                <w:color w:val="auto"/>
              </w:rPr>
            </w:pPr>
            <w:r>
              <w:rPr>
                <w:rFonts w:ascii="Arial" w:cs="Arial" w:eastAsia="Arial" w:hAnsi="Arial"/>
                <w:sz w:val="15"/>
                <w:szCs w:val="15"/>
                <w:b w:val="1"/>
                <w:bCs w:val="1"/>
                <w:color w:val="auto"/>
                <w:w w:val="94"/>
              </w:rPr>
              <w:t>Total</w:t>
            </w:r>
          </w:p>
        </w:tc>
        <w:tc>
          <w:tcPr>
            <w:tcW w:w="1180" w:type="dxa"/>
            <w:vAlign w:val="bottom"/>
            <w:vMerge w:val="continue"/>
          </w:tcPr>
          <w:p>
            <w:pPr>
              <w:spacing w:after="0"/>
              <w:rPr>
                <w:sz w:val="13"/>
                <w:szCs w:val="13"/>
                <w:color w:val="auto"/>
              </w:rPr>
            </w:pPr>
          </w:p>
        </w:tc>
        <w:tc>
          <w:tcPr>
            <w:tcW w:w="88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5"/>
              </w:rPr>
              <w:t>Additional</w:t>
            </w:r>
          </w:p>
        </w:tc>
        <w:tc>
          <w:tcPr>
            <w:tcW w:w="1000" w:type="dxa"/>
            <w:vAlign w:val="bottom"/>
          </w:tcPr>
          <w:p>
            <w:pPr>
              <w:spacing w:after="0"/>
              <w:rPr>
                <w:sz w:val="13"/>
                <w:szCs w:val="13"/>
                <w:color w:val="auto"/>
              </w:rPr>
            </w:pPr>
          </w:p>
        </w:tc>
        <w:tc>
          <w:tcPr>
            <w:tcW w:w="112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5"/>
              </w:rPr>
              <w:t>other</w:t>
            </w:r>
          </w:p>
        </w:tc>
        <w:tc>
          <w:tcPr>
            <w:tcW w:w="96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203"/>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Stock</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95"/>
              </w:rPr>
              <w:t>paid in</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1"/>
              </w:rPr>
              <w:t>Accumulated</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7"/>
              </w:rPr>
              <w:t>comprehensive</w:t>
            </w:r>
          </w:p>
        </w:tc>
        <w:tc>
          <w:tcPr>
            <w:tcW w:w="104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88"/>
              </w:rPr>
              <w:t>stockholders'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stock</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w w:val="97"/>
              </w:rPr>
              <w:t>paid-in</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3"/>
              </w:rPr>
              <w:t>Accumulated</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9"/>
              </w:rPr>
              <w:t>comprehensive</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202"/>
        </w:trPr>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7"/>
              </w:rPr>
              <w:t>Shares  Amount</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92"/>
              </w:rPr>
              <w:t>capital</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4"/>
              </w:rPr>
              <w:t>deficit</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8"/>
              </w:rPr>
              <w:t>income (loss)</w:t>
            </w:r>
          </w:p>
        </w:tc>
        <w:tc>
          <w:tcPr>
            <w:tcW w:w="104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4"/>
              </w:rPr>
              <w:t>equity</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7"/>
              </w:rPr>
              <w:t>Shares  Amount</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w w:val="92"/>
              </w:rPr>
              <w:t>capital</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0"/>
              </w:rPr>
              <w:t>deficit</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6"/>
              </w:rPr>
              <w:t>income (loss)</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0"/>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197090" cy="394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39497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Arial" w:cs="Arial" w:eastAsia="Arial" w:hAnsi="Arial"/>
                <w:sz w:val="15"/>
                <w:szCs w:val="15"/>
                <w:b w:val="1"/>
                <w:bCs w:val="1"/>
                <w:color w:val="auto"/>
              </w:rPr>
              <w:t>Balances at</w:t>
            </w: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b w:val="1"/>
                <w:bCs w:val="1"/>
                <w:color w:val="auto"/>
              </w:rPr>
              <w:t>beginning of</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5"/>
                <w:szCs w:val="15"/>
                <w:b w:val="1"/>
                <w:bCs w:val="1"/>
                <w:color w:val="auto"/>
              </w:rPr>
              <w:t>period</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417.0</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w w:val="95"/>
              </w:rPr>
              <w:t>$ 2,531.3</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4"/>
              <w:spacing w:after="0"/>
              <w:rPr>
                <w:sz w:val="20"/>
                <w:szCs w:val="20"/>
                <w:color w:val="auto"/>
              </w:rPr>
            </w:pPr>
            <w:r>
              <w:rPr>
                <w:rFonts w:ascii="Arial" w:cs="Arial" w:eastAsia="Arial" w:hAnsi="Arial"/>
                <w:sz w:val="15"/>
                <w:szCs w:val="15"/>
                <w:color w:val="auto"/>
                <w:w w:val="99"/>
              </w:rPr>
              <w:t>(1,726.2)</w:t>
            </w:r>
          </w:p>
        </w:tc>
        <w:tc>
          <w:tcPr>
            <w:tcW w:w="100" w:type="dxa"/>
            <w:vAlign w:val="bottom"/>
          </w:tcPr>
          <w:p>
            <w:pPr>
              <w:spacing w:after="0"/>
              <w:rPr>
                <w:sz w:val="17"/>
                <w:szCs w:val="17"/>
                <w:color w:val="auto"/>
              </w:rPr>
            </w:pP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3.3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Cumulative-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effect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adjustment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from adoption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of ASC 842</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Release of</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w w:val="93"/>
              </w:rPr>
              <w:t>restricted stock</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units</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Shares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repurchased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for tax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withholdings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on release of</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w w:val="93"/>
              </w:rPr>
              <w:t>restricted stock</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units and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awards</w:t>
            </w:r>
          </w:p>
        </w:tc>
        <w:tc>
          <w:tcPr>
            <w:tcW w:w="48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Repurchases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of common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stock</w:t>
            </w:r>
          </w:p>
        </w:tc>
        <w:tc>
          <w:tcPr>
            <w:tcW w:w="480" w:type="dxa"/>
            <w:vAlign w:val="bottom"/>
          </w:tcPr>
          <w:p>
            <w:pPr>
              <w:jc w:val="right"/>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(68.5)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(71.3)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Exercise of</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stock options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and awards</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w w:val="92"/>
              </w:rPr>
              <w:t>Assumed stock</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options in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connection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rPr>
              <w:t>with</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acquisition</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Stock-based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compensation</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116.4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Other</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Arial" w:cs="Arial" w:eastAsia="Arial" w:hAnsi="Arial"/>
                <w:sz w:val="15"/>
                <w:szCs w:val="15"/>
                <w:color w:val="auto"/>
                <w:w w:val="92"/>
              </w:rPr>
              <w:t>comprehensive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income (loss)</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4.1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Arial" w:cs="Arial" w:eastAsia="Arial" w:hAnsi="Arial"/>
                <w:sz w:val="15"/>
                <w:szCs w:val="15"/>
                <w:color w:val="auto"/>
              </w:rPr>
              <w:t>Net income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5"/>
                <w:szCs w:val="15"/>
                <w:color w:val="auto"/>
              </w:rPr>
              <w:t>(loss)</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56.8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960" w:type="dxa"/>
            <w:vAlign w:val="bottom"/>
            <w:vMerge w:val="restart"/>
          </w:tcPr>
          <w:p>
            <w:pPr>
              <w:spacing w:after="0"/>
              <w:rPr>
                <w:sz w:val="20"/>
                <w:szCs w:val="20"/>
                <w:color w:val="auto"/>
              </w:rPr>
            </w:pPr>
            <w:r>
              <w:rPr>
                <w:rFonts w:ascii="Arial" w:cs="Arial" w:eastAsia="Arial" w:hAnsi="Arial"/>
                <w:sz w:val="15"/>
                <w:szCs w:val="15"/>
                <w:b w:val="1"/>
                <w:bCs w:val="1"/>
                <w:color w:val="auto"/>
              </w:rPr>
              <w:t>Balances at</w:t>
            </w: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vMerge w:val="continue"/>
          </w:tcPr>
          <w:p>
            <w:pPr>
              <w:spacing w:after="0"/>
              <w:rPr>
                <w:sz w:val="15"/>
                <w:szCs w:val="15"/>
                <w:color w:val="auto"/>
              </w:rPr>
            </w:pPr>
          </w:p>
        </w:tc>
        <w:tc>
          <w:tcPr>
            <w:tcW w:w="480" w:type="dxa"/>
            <w:vAlign w:val="bottom"/>
            <w:vMerge w:val="restart"/>
          </w:tcPr>
          <w:p>
            <w:pPr>
              <w:jc w:val="right"/>
              <w:ind w:right="4"/>
              <w:spacing w:after="0"/>
              <w:rPr>
                <w:sz w:val="20"/>
                <w:szCs w:val="20"/>
                <w:color w:val="auto"/>
              </w:rPr>
            </w:pPr>
            <w:r>
              <w:rPr>
                <w:rFonts w:ascii="Arial" w:cs="Arial" w:eastAsia="Arial" w:hAnsi="Arial"/>
                <w:sz w:val="15"/>
                <w:szCs w:val="15"/>
                <w:color w:val="auto"/>
              </w:rPr>
              <w:t>413.8</w:t>
            </w:r>
          </w:p>
        </w:tc>
        <w:tc>
          <w:tcPr>
            <w:tcW w:w="100" w:type="dxa"/>
            <w:vAlign w:val="bottom"/>
          </w:tcPr>
          <w:p>
            <w:pPr>
              <w:spacing w:after="0"/>
              <w:rPr>
                <w:sz w:val="15"/>
                <w:szCs w:val="15"/>
                <w:color w:val="auto"/>
              </w:rPr>
            </w:pPr>
          </w:p>
        </w:tc>
        <w:tc>
          <w:tcPr>
            <w:tcW w:w="220" w:type="dxa"/>
            <w:vAlign w:val="bottom"/>
            <w:vMerge w:val="restart"/>
          </w:tcPr>
          <w:p>
            <w:pPr>
              <w:jc w:val="right"/>
              <w:ind w:right="44"/>
              <w:spacing w:after="0"/>
              <w:rPr>
                <w:sz w:val="20"/>
                <w:szCs w:val="20"/>
                <w:color w:val="auto"/>
              </w:rPr>
            </w:pPr>
            <w:r>
              <w:rPr>
                <w:rFonts w:ascii="Arial" w:cs="Arial" w:eastAsia="Arial" w:hAnsi="Arial"/>
                <w:sz w:val="15"/>
                <w:szCs w:val="15"/>
                <w:color w:val="auto"/>
                <w:w w:val="95"/>
              </w:rPr>
              <w:t>$</w:t>
            </w:r>
          </w:p>
        </w:tc>
        <w:tc>
          <w:tcPr>
            <w:tcW w:w="460" w:type="dxa"/>
            <w:vAlign w:val="bottom"/>
            <w:gridSpan w:val="2"/>
            <w:vMerge w:val="restart"/>
          </w:tcPr>
          <w:p>
            <w:pPr>
              <w:ind w:left="10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44"/>
              <w:spacing w:after="0"/>
              <w:rPr>
                <w:sz w:val="20"/>
                <w:szCs w:val="20"/>
                <w:color w:val="auto"/>
              </w:rPr>
            </w:pPr>
            <w:r>
              <w:rPr>
                <w:rFonts w:ascii="Arial" w:cs="Arial" w:eastAsia="Arial" w:hAnsi="Arial"/>
                <w:sz w:val="15"/>
                <w:szCs w:val="15"/>
                <w:color w:val="auto"/>
                <w:w w:val="95"/>
              </w:rPr>
              <w:t>$ 2,560.4</w:t>
            </w:r>
          </w:p>
        </w:tc>
        <w:tc>
          <w:tcPr>
            <w:tcW w:w="100" w:type="dxa"/>
            <w:vAlign w:val="bottom"/>
          </w:tcPr>
          <w:p>
            <w:pPr>
              <w:spacing w:after="0"/>
              <w:rPr>
                <w:sz w:val="15"/>
                <w:szCs w:val="15"/>
                <w:color w:val="auto"/>
              </w:rPr>
            </w:pPr>
          </w:p>
        </w:tc>
        <w:tc>
          <w:tcPr>
            <w:tcW w:w="180" w:type="dxa"/>
            <w:vAlign w:val="bottom"/>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ind w:right="24"/>
              <w:spacing w:after="0"/>
              <w:rPr>
                <w:sz w:val="20"/>
                <w:szCs w:val="20"/>
                <w:color w:val="auto"/>
              </w:rPr>
            </w:pPr>
            <w:r>
              <w:rPr>
                <w:rFonts w:ascii="Arial" w:cs="Arial" w:eastAsia="Arial" w:hAnsi="Arial"/>
                <w:sz w:val="15"/>
                <w:szCs w:val="15"/>
                <w:color w:val="auto"/>
                <w:w w:val="99"/>
              </w:rPr>
              <w:t>(1,764.4)</w:t>
            </w:r>
          </w:p>
        </w:tc>
        <w:tc>
          <w:tcPr>
            <w:tcW w:w="100" w:type="dxa"/>
            <w:vAlign w:val="bottom"/>
          </w:tcPr>
          <w:p>
            <w:pPr>
              <w:spacing w:after="0"/>
              <w:rPr>
                <w:sz w:val="15"/>
                <w:szCs w:val="15"/>
                <w:color w:val="auto"/>
              </w:rPr>
            </w:pPr>
          </w:p>
        </w:tc>
        <w:tc>
          <w:tcPr>
            <w:tcW w:w="400" w:type="dxa"/>
            <w:vAlign w:val="bottom"/>
            <w:vMerge w:val="restart"/>
          </w:tcPr>
          <w:p>
            <w:pPr>
              <w:jc w:val="right"/>
              <w:ind w:right="224"/>
              <w:spacing w:after="0"/>
              <w:rPr>
                <w:sz w:val="20"/>
                <w:szCs w:val="20"/>
                <w:color w:val="auto"/>
              </w:rPr>
            </w:pPr>
            <w:r>
              <w:rPr>
                <w:rFonts w:ascii="Arial" w:cs="Arial" w:eastAsia="Arial" w:hAnsi="Arial"/>
                <w:sz w:val="15"/>
                <w:szCs w:val="15"/>
                <w:color w:val="auto"/>
                <w:w w:val="95"/>
              </w:rPr>
              <w:t>$</w:t>
            </w:r>
          </w:p>
        </w:tc>
        <w:tc>
          <w:tcPr>
            <w:tcW w:w="620" w:type="dxa"/>
            <w:vAlign w:val="bottom"/>
            <w:vMerge w:val="restart"/>
          </w:tcPr>
          <w:p>
            <w:pPr>
              <w:jc w:val="right"/>
              <w:ind w:right="64"/>
              <w:spacing w:after="0"/>
              <w:rPr>
                <w:sz w:val="20"/>
                <w:szCs w:val="20"/>
                <w:color w:val="auto"/>
              </w:rPr>
            </w:pPr>
            <w:r>
              <w:rPr>
                <w:rFonts w:ascii="Arial" w:cs="Arial" w:eastAsia="Arial" w:hAnsi="Arial"/>
                <w:sz w:val="15"/>
                <w:szCs w:val="15"/>
                <w:color w:val="auto"/>
              </w:rPr>
              <w:t>7.4</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960" w:type="dxa"/>
            <w:vAlign w:val="bottom"/>
          </w:tcPr>
          <w:p>
            <w:pPr>
              <w:spacing w:after="0"/>
              <w:rPr>
                <w:sz w:val="20"/>
                <w:szCs w:val="20"/>
                <w:color w:val="auto"/>
              </w:rPr>
            </w:pPr>
            <w:r>
              <w:rPr>
                <w:rFonts w:ascii="Arial" w:cs="Arial" w:eastAsia="Arial" w:hAnsi="Arial"/>
                <w:sz w:val="15"/>
                <w:szCs w:val="15"/>
                <w:b w:val="1"/>
                <w:bCs w:val="1"/>
                <w:color w:val="auto"/>
                <w:w w:val="98"/>
              </w:rPr>
              <w:t>end of period</w:t>
            </w: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60"/>
        <w:spacing w:after="0"/>
        <w:tabs>
          <w:tab w:leader="none" w:pos="680" w:val="left"/>
          <w:tab w:leader="none" w:pos="1240" w:val="left"/>
          <w:tab w:leader="none" w:pos="1520" w:val="left"/>
          <w:tab w:leader="none" w:pos="1920" w:val="left"/>
          <w:tab w:leader="none" w:pos="2740" w:val="left"/>
          <w:tab w:leader="none" w:pos="2980" w:val="left"/>
          <w:tab w:leader="none" w:pos="3760" w:val="left"/>
          <w:tab w:leader="none" w:pos="4360" w:val="left"/>
          <w:tab w:leader="none" w:pos="4860" w:val="left"/>
          <w:tab w:leader="none" w:pos="5260" w:val="left"/>
        </w:tabs>
        <w:rPr>
          <w:sz w:val="20"/>
          <w:szCs w:val="20"/>
          <w:color w:val="auto"/>
        </w:rPr>
      </w:pPr>
      <w:r>
        <w:rPr>
          <w:rFonts w:ascii="Arial" w:cs="Arial" w:eastAsia="Arial" w:hAnsi="Arial"/>
          <w:sz w:val="15"/>
          <w:szCs w:val="15"/>
          <w:color w:val="auto"/>
        </w:rPr>
        <w:t>808.4</w:t>
      </w:r>
      <w:r>
        <w:rPr>
          <w:sz w:val="20"/>
          <w:szCs w:val="20"/>
          <w:color w:val="auto"/>
        </w:rPr>
        <w:tab/>
      </w:r>
      <w:r>
        <w:rPr>
          <w:rFonts w:ascii="Arial" w:cs="Arial" w:eastAsia="Arial" w:hAnsi="Arial"/>
          <w:sz w:val="15"/>
          <w:szCs w:val="15"/>
          <w:color w:val="auto"/>
        </w:rPr>
        <w:t>409.6</w:t>
        <w:tab/>
        <w:t>$</w:t>
        <w:tab/>
        <w:t>—</w:t>
      </w:r>
      <w:r>
        <w:rPr>
          <w:sz w:val="20"/>
          <w:szCs w:val="20"/>
          <w:color w:val="auto"/>
        </w:rPr>
        <w:tab/>
      </w:r>
      <w:r>
        <w:rPr>
          <w:rFonts w:ascii="Arial" w:cs="Arial" w:eastAsia="Arial" w:hAnsi="Arial"/>
          <w:sz w:val="15"/>
          <w:szCs w:val="15"/>
          <w:color w:val="auto"/>
        </w:rPr>
        <w:t>$ 2,337.5</w:t>
      </w:r>
      <w:r>
        <w:rPr>
          <w:sz w:val="20"/>
          <w:szCs w:val="20"/>
          <w:color w:val="auto"/>
        </w:rPr>
        <w:tab/>
      </w:r>
      <w:r>
        <w:rPr>
          <w:rFonts w:ascii="Arial" w:cs="Arial" w:eastAsia="Arial" w:hAnsi="Arial"/>
          <w:sz w:val="15"/>
          <w:szCs w:val="15"/>
          <w:color w:val="auto"/>
        </w:rPr>
        <w:t>$</w:t>
        <w:tab/>
        <w:t>(1,659.5)</w:t>
        <w:tab/>
        <w:t>$</w:t>
      </w:r>
      <w:r>
        <w:rPr>
          <w:sz w:val="20"/>
          <w:szCs w:val="20"/>
          <w:color w:val="auto"/>
        </w:rPr>
        <w:tab/>
      </w:r>
      <w:r>
        <w:rPr>
          <w:rFonts w:ascii="Arial" w:cs="Arial" w:eastAsia="Arial" w:hAnsi="Arial"/>
          <w:sz w:val="15"/>
          <w:szCs w:val="15"/>
          <w:color w:val="auto"/>
        </w:rPr>
        <w:t>(1.2)</w:t>
        <w:tab/>
        <w:t>$</w:t>
      </w:r>
      <w:r>
        <w:rPr>
          <w:sz w:val="20"/>
          <w:szCs w:val="20"/>
          <w:color w:val="auto"/>
        </w:rPr>
        <w:tab/>
      </w:r>
      <w:r>
        <w:rPr>
          <w:rFonts w:ascii="Arial" w:cs="Arial" w:eastAsia="Arial" w:hAnsi="Arial"/>
          <w:sz w:val="13"/>
          <w:szCs w:val="13"/>
          <w:color w:val="auto"/>
        </w:rPr>
        <w:t>676.8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spacing w:after="0"/>
        <w:tabs>
          <w:tab w:leader="none" w:pos="860" w:val="left"/>
          <w:tab w:leader="none" w:pos="1520" w:val="left"/>
          <w:tab w:leader="none" w:pos="2360" w:val="left"/>
          <w:tab w:leader="none" w:pos="3300" w:val="left"/>
          <w:tab w:leader="none" w:pos="4440" w:val="left"/>
          <w:tab w:leader="none" w:pos="54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1.0</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32385</wp:posOffset>
            </wp:positionV>
            <wp:extent cx="7197090" cy="394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39497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40"/>
        <w:spacing w:after="0"/>
        <w:tabs>
          <w:tab w:leader="none" w:pos="840" w:val="left"/>
          <w:tab w:leader="none" w:pos="1520" w:val="left"/>
          <w:tab w:leader="none" w:pos="2360" w:val="left"/>
          <w:tab w:leader="none" w:pos="3340" w:val="left"/>
          <w:tab w:leader="none" w:pos="4440" w:val="left"/>
          <w:tab w:leader="none" w:pos="54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5.5</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780" w:val="left"/>
          <w:tab w:leader="none" w:pos="1520" w:val="left"/>
          <w:tab w:leader="none" w:pos="2180" w:val="left"/>
          <w:tab w:leader="none" w:pos="3160" w:val="left"/>
          <w:tab w:leader="none" w:pos="4440" w:val="left"/>
          <w:tab w:leader="none" w:pos="5280" w:val="left"/>
        </w:tabs>
        <w:rPr>
          <w:sz w:val="20"/>
          <w:szCs w:val="20"/>
          <w:color w:val="auto"/>
        </w:rPr>
      </w:pPr>
      <w:r>
        <w:rPr>
          <w:rFonts w:ascii="Arial" w:cs="Arial" w:eastAsia="Arial" w:hAnsi="Arial"/>
          <w:sz w:val="15"/>
          <w:szCs w:val="15"/>
          <w:color w:val="auto"/>
        </w:rPr>
        <w:t>(44.0)</w:t>
      </w:r>
      <w:r>
        <w:rPr>
          <w:sz w:val="20"/>
          <w:szCs w:val="20"/>
          <w:color w:val="auto"/>
        </w:rPr>
        <w:tab/>
      </w:r>
      <w:r>
        <w:rPr>
          <w:rFonts w:ascii="Arial" w:cs="Arial" w:eastAsia="Arial" w:hAnsi="Arial"/>
          <w:sz w:val="15"/>
          <w:szCs w:val="15"/>
          <w:color w:val="auto"/>
        </w:rPr>
        <w:t>(2.0)</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(35.6)</w:t>
      </w:r>
      <w:r>
        <w:rPr>
          <w:sz w:val="20"/>
          <w:szCs w:val="20"/>
          <w:color w:val="auto"/>
        </w:rPr>
        <w:tab/>
      </w:r>
      <w:r>
        <w:rPr>
          <w:rFonts w:ascii="Arial" w:cs="Arial" w:eastAsia="Arial" w:hAnsi="Arial"/>
          <w:sz w:val="15"/>
          <w:szCs w:val="15"/>
          <w:color w:val="auto"/>
        </w:rPr>
        <w:t>(12.5)</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32385</wp:posOffset>
            </wp:positionV>
            <wp:extent cx="7197090" cy="394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39497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860" w:val="left"/>
          <w:tab w:leader="none" w:pos="1520" w:val="left"/>
          <w:tab w:leader="none" w:pos="2360" w:val="left"/>
          <w:tab w:leader="none" w:pos="3340" w:val="left"/>
          <w:tab w:leader="none" w:pos="4440" w:val="left"/>
          <w:tab w:leader="none" w:pos="5460" w:val="left"/>
        </w:tabs>
        <w:rPr>
          <w:sz w:val="20"/>
          <w:szCs w:val="20"/>
          <w:color w:val="auto"/>
        </w:rPr>
      </w:pPr>
      <w:r>
        <w:rPr>
          <w:rFonts w:ascii="Arial" w:cs="Arial" w:eastAsia="Arial" w:hAnsi="Arial"/>
          <w:sz w:val="15"/>
          <w:szCs w:val="15"/>
          <w:color w:val="auto"/>
        </w:rPr>
        <w:t>(139.8)</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49" w:lineRule="exact"/>
        <w:rPr>
          <w:sz w:val="20"/>
          <w:szCs w:val="20"/>
          <w:color w:val="auto"/>
        </w:rPr>
      </w:pPr>
    </w:p>
    <w:p>
      <w:pPr>
        <w:ind w:left="200"/>
        <w:spacing w:after="0"/>
        <w:tabs>
          <w:tab w:leader="none" w:pos="840" w:val="left"/>
          <w:tab w:leader="none" w:pos="1520" w:val="left"/>
          <w:tab w:leader="none" w:pos="2320" w:val="left"/>
          <w:tab w:leader="none" w:pos="3340" w:val="left"/>
          <w:tab w:leader="none" w:pos="4440" w:val="left"/>
          <w:tab w:leader="none" w:pos="5420" w:val="left"/>
        </w:tabs>
        <w:rPr>
          <w:sz w:val="20"/>
          <w:szCs w:val="20"/>
          <w:color w:val="auto"/>
        </w:rPr>
      </w:pPr>
      <w:r>
        <w:rPr>
          <w:rFonts w:ascii="Arial" w:cs="Arial" w:eastAsia="Arial" w:hAnsi="Arial"/>
          <w:sz w:val="15"/>
          <w:szCs w:val="15"/>
          <w:color w:val="auto"/>
        </w:rPr>
        <w:t>1.5</w:t>
      </w:r>
      <w:r>
        <w:rPr>
          <w:sz w:val="20"/>
          <w:szCs w:val="20"/>
          <w:color w:val="auto"/>
        </w:rPr>
        <w:tab/>
      </w:r>
      <w:r>
        <w:rPr>
          <w:rFonts w:ascii="Arial" w:cs="Arial" w:eastAsia="Arial" w:hAnsi="Arial"/>
          <w:sz w:val="15"/>
          <w:szCs w:val="15"/>
          <w:color w:val="auto"/>
        </w:rPr>
        <w:t>0.3</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2.0</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32385</wp:posOffset>
            </wp:positionV>
            <wp:extent cx="7197090" cy="636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63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60" w:type="dxa"/>
            <w:vAlign w:val="bottom"/>
          </w:tcPr>
          <w:p>
            <w:pPr>
              <w:jc w:val="right"/>
              <w:ind w:right="84"/>
              <w:spacing w:after="0"/>
              <w:rPr>
                <w:sz w:val="20"/>
                <w:szCs w:val="20"/>
                <w:color w:val="auto"/>
              </w:rPr>
            </w:pPr>
            <w:r>
              <w:rPr>
                <w:rFonts w:ascii="Arial" w:cs="Arial" w:eastAsia="Arial" w:hAnsi="Arial"/>
                <w:sz w:val="15"/>
                <w:szCs w:val="15"/>
                <w:color w:val="auto"/>
              </w:rPr>
              <w:t>0.8</w:t>
            </w:r>
          </w:p>
        </w:tc>
      </w:tr>
      <w:tr>
        <w:trPr>
          <w:trHeight w:val="432"/>
        </w:trPr>
        <w:tc>
          <w:tcPr>
            <w:tcW w:w="580" w:type="dxa"/>
            <w:vAlign w:val="bottom"/>
          </w:tcPr>
          <w:p>
            <w:pPr>
              <w:jc w:val="right"/>
              <w:ind w:right="164"/>
              <w:spacing w:after="0"/>
              <w:rPr>
                <w:sz w:val="20"/>
                <w:szCs w:val="20"/>
                <w:color w:val="auto"/>
              </w:rPr>
            </w:pPr>
            <w:r>
              <w:rPr>
                <w:rFonts w:ascii="Arial" w:cs="Arial" w:eastAsia="Arial" w:hAnsi="Arial"/>
                <w:sz w:val="15"/>
                <w:szCs w:val="15"/>
                <w:color w:val="auto"/>
                <w:w w:val="85"/>
              </w:rPr>
              <w:t>116.4</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123.7</w:t>
            </w:r>
          </w:p>
        </w:tc>
        <w:tc>
          <w:tcPr>
            <w:tcW w:w="10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660" w:type="dxa"/>
            <w:vAlign w:val="bottom"/>
          </w:tcPr>
          <w:p>
            <w:pPr>
              <w:jc w:val="right"/>
              <w:ind w:right="84"/>
              <w:spacing w:after="0"/>
              <w:rPr>
                <w:sz w:val="20"/>
                <w:szCs w:val="20"/>
                <w:color w:val="auto"/>
              </w:rPr>
            </w:pPr>
            <w:r>
              <w:rPr>
                <w:rFonts w:ascii="Arial" w:cs="Arial" w:eastAsia="Arial" w:hAnsi="Arial"/>
                <w:sz w:val="15"/>
                <w:szCs w:val="15"/>
                <w:color w:val="auto"/>
              </w:rPr>
              <w:t>123.7</w:t>
            </w:r>
          </w:p>
        </w:tc>
      </w:tr>
      <w:tr>
        <w:trPr>
          <w:trHeight w:val="622"/>
        </w:trPr>
        <w:tc>
          <w:tcPr>
            <w:tcW w:w="580" w:type="dxa"/>
            <w:vAlign w:val="bottom"/>
          </w:tcPr>
          <w:p>
            <w:pPr>
              <w:jc w:val="right"/>
              <w:ind w:right="164"/>
              <w:spacing w:after="0"/>
              <w:rPr>
                <w:sz w:val="20"/>
                <w:szCs w:val="20"/>
                <w:color w:val="auto"/>
              </w:rPr>
            </w:pPr>
            <w:r>
              <w:rPr>
                <w:rFonts w:ascii="Arial" w:cs="Arial" w:eastAsia="Arial" w:hAnsi="Arial"/>
                <w:sz w:val="15"/>
                <w:szCs w:val="15"/>
                <w:color w:val="auto"/>
              </w:rPr>
              <w:t>4.1</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84"/>
              <w:spacing w:after="0"/>
              <w:rPr>
                <w:sz w:val="20"/>
                <w:szCs w:val="20"/>
                <w:color w:val="auto"/>
              </w:rPr>
            </w:pPr>
            <w:r>
              <w:rPr>
                <w:rFonts w:ascii="Arial" w:cs="Arial" w:eastAsia="Arial" w:hAnsi="Arial"/>
                <w:sz w:val="15"/>
                <w:szCs w:val="15"/>
                <w:color w:val="auto"/>
              </w:rPr>
              <w:t>3.1</w:t>
            </w:r>
          </w:p>
        </w:tc>
      </w:tr>
      <w:tr>
        <w:trPr>
          <w:trHeight w:val="432"/>
        </w:trPr>
        <w:tc>
          <w:tcPr>
            <w:tcW w:w="580" w:type="dxa"/>
            <w:vAlign w:val="bottom"/>
          </w:tcPr>
          <w:p>
            <w:pPr>
              <w:jc w:val="right"/>
              <w:ind w:right="164"/>
              <w:spacing w:after="0"/>
              <w:rPr>
                <w:sz w:val="20"/>
                <w:szCs w:val="20"/>
                <w:color w:val="auto"/>
              </w:rPr>
            </w:pPr>
            <w:r>
              <w:rPr>
                <w:rFonts w:ascii="Arial" w:cs="Arial" w:eastAsia="Arial" w:hAnsi="Arial"/>
                <w:sz w:val="15"/>
                <w:szCs w:val="15"/>
                <w:color w:val="auto"/>
              </w:rPr>
              <w:t>56.8</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(29.1)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(29.1)</w:t>
            </w:r>
          </w:p>
        </w:tc>
      </w:tr>
      <w:tr>
        <w:trPr>
          <w:trHeight w:val="32"/>
        </w:trPr>
        <w:tc>
          <w:tcPr>
            <w:tcW w:w="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67"/>
        </w:trPr>
        <w:tc>
          <w:tcPr>
            <w:tcW w:w="580" w:type="dxa"/>
            <w:vAlign w:val="bottom"/>
          </w:tcPr>
          <w:p>
            <w:pPr>
              <w:jc w:val="right"/>
              <w:ind w:right="164"/>
              <w:spacing w:after="0"/>
              <w:rPr>
                <w:sz w:val="20"/>
                <w:szCs w:val="20"/>
                <w:color w:val="auto"/>
              </w:rPr>
            </w:pPr>
            <w:r>
              <w:rPr>
                <w:rFonts w:ascii="Arial" w:cs="Arial" w:eastAsia="Arial" w:hAnsi="Arial"/>
                <w:sz w:val="15"/>
                <w:szCs w:val="15"/>
                <w:color w:val="auto"/>
                <w:w w:val="85"/>
              </w:rPr>
              <w:t>803.4</w:t>
            </w:r>
          </w:p>
        </w:tc>
        <w:tc>
          <w:tcPr>
            <w:tcW w:w="500" w:type="dxa"/>
            <w:vAlign w:val="bottom"/>
          </w:tcPr>
          <w:p>
            <w:pPr>
              <w:jc w:val="right"/>
              <w:ind w:right="24"/>
              <w:spacing w:after="0"/>
              <w:rPr>
                <w:sz w:val="20"/>
                <w:szCs w:val="20"/>
                <w:color w:val="auto"/>
              </w:rPr>
            </w:pPr>
            <w:r>
              <w:rPr>
                <w:rFonts w:ascii="Arial" w:cs="Arial" w:eastAsia="Arial" w:hAnsi="Arial"/>
                <w:sz w:val="15"/>
                <w:szCs w:val="15"/>
                <w:color w:val="auto"/>
              </w:rPr>
              <w:t>413.4</w:t>
            </w: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   —</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w w:val="92"/>
              </w:rPr>
              <w:t>$ 2,428.4</w:t>
            </w:r>
          </w:p>
        </w:tc>
        <w:tc>
          <w:tcPr>
            <w:tcW w:w="10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  (1,700.1)</w:t>
            </w:r>
          </w:p>
        </w:tc>
        <w:tc>
          <w:tcPr>
            <w:tcW w:w="100" w:type="dxa"/>
            <w:vAlign w:val="bottom"/>
          </w:tcPr>
          <w:p>
            <w:pPr>
              <w:spacing w:after="0"/>
              <w:rPr>
                <w:sz w:val="24"/>
                <w:szCs w:val="24"/>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4"/>
                <w:szCs w:val="24"/>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84"/>
              <w:spacing w:after="0"/>
              <w:rPr>
                <w:sz w:val="20"/>
                <w:szCs w:val="20"/>
                <w:color w:val="auto"/>
              </w:rPr>
            </w:pPr>
            <w:r>
              <w:rPr>
                <w:rFonts w:ascii="Arial" w:cs="Arial" w:eastAsia="Arial" w:hAnsi="Arial"/>
                <w:sz w:val="15"/>
                <w:szCs w:val="15"/>
                <w:color w:val="auto"/>
              </w:rPr>
              <w:t>730.2</w:t>
            </w:r>
          </w:p>
        </w:tc>
      </w:tr>
      <w:tr>
        <w:trPr>
          <w:trHeight w:val="32"/>
        </w:trPr>
        <w:tc>
          <w:tcPr>
            <w:tcW w:w="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-958215</wp:posOffset>
            </wp:positionV>
            <wp:extent cx="7197090" cy="394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394970"/>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-289560</wp:posOffset>
            </wp:positionV>
            <wp:extent cx="7197090" cy="290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290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260"/>
            <w:col w:w="5780"/>
          </w:cols>
          <w:pgMar w:left="320" w:top="123" w:right="239" w:bottom="1440" w:gutter="0" w:footer="0" w:header="0"/>
          <w:type w:val="continuous"/>
        </w:sectPr>
      </w:pP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5"/>
          <w:szCs w:val="15"/>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40"/>
          </w:cols>
          <w:pgMar w:left="320" w:top="123"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9"/>
        </w:trPr>
        <w:tc>
          <w:tcPr>
            <w:tcW w:w="8000" w:type="dxa"/>
            <w:vAlign w:val="bottom"/>
          </w:tcPr>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90"/>
        </w:trPr>
        <w:tc>
          <w:tcPr>
            <w:tcW w:w="8000" w:type="dxa"/>
            <w:vAlign w:val="bottom"/>
          </w:tcPr>
          <w:p>
            <w:pPr>
              <w:jc w:val="center"/>
              <w:ind w:left="3155"/>
              <w:spacing w:after="0"/>
              <w:rPr>
                <w:sz w:val="20"/>
                <w:szCs w:val="20"/>
                <w:color w:val="auto"/>
              </w:rPr>
            </w:pPr>
            <w:r>
              <w:rPr>
                <w:rFonts w:ascii="Arial" w:cs="Arial" w:eastAsia="Arial" w:hAnsi="Arial"/>
                <w:sz w:val="17"/>
                <w:szCs w:val="17"/>
                <w:b w:val="1"/>
                <w:bCs w:val="1"/>
                <w:color w:val="auto"/>
                <w:w w:val="98"/>
              </w:rPr>
              <w:t>DROPBOX, INC.</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7"/>
        </w:trPr>
        <w:tc>
          <w:tcPr>
            <w:tcW w:w="9000" w:type="dxa"/>
            <w:vAlign w:val="bottom"/>
            <w:gridSpan w:val="2"/>
          </w:tcPr>
          <w:p>
            <w:pPr>
              <w:jc w:val="center"/>
              <w:ind w:left="2155"/>
              <w:spacing w:after="0"/>
              <w:rPr>
                <w:sz w:val="20"/>
                <w:szCs w:val="20"/>
                <w:color w:val="auto"/>
              </w:rPr>
            </w:pPr>
            <w:r>
              <w:rPr>
                <w:rFonts w:ascii="Arial" w:cs="Arial" w:eastAsia="Arial" w:hAnsi="Arial"/>
                <w:sz w:val="17"/>
                <w:szCs w:val="17"/>
                <w:b w:val="1"/>
                <w:bCs w:val="1"/>
                <w:color w:val="auto"/>
                <w:w w:val="98"/>
              </w:rPr>
              <w:t>CONDENSED CONSOLIDATED STATEMENTS OF CASH FLOWS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8000" w:type="dxa"/>
            <w:vAlign w:val="bottom"/>
          </w:tcPr>
          <w:p>
            <w:pPr>
              <w:jc w:val="center"/>
              <w:ind w:left="3155"/>
              <w:spacing w:after="0"/>
              <w:rPr>
                <w:sz w:val="20"/>
                <w:szCs w:val="20"/>
                <w:color w:val="auto"/>
              </w:rPr>
            </w:pPr>
            <w:r>
              <w:rPr>
                <w:rFonts w:ascii="Arial" w:cs="Arial" w:eastAsia="Arial" w:hAnsi="Arial"/>
                <w:sz w:val="17"/>
                <w:szCs w:val="17"/>
                <w:i w:val="1"/>
                <w:iCs w:val="1"/>
                <w:color w:val="auto"/>
                <w:w w:val="96"/>
              </w:rPr>
              <w:t>(In millions)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5"/>
        </w:trPr>
        <w:tc>
          <w:tcPr>
            <w:tcW w:w="8000" w:type="dxa"/>
            <w:vAlign w:val="bottom"/>
          </w:tcPr>
          <w:p>
            <w:pPr>
              <w:jc w:val="center"/>
              <w:ind w:left="3175"/>
              <w:spacing w:after="0"/>
              <w:rPr>
                <w:sz w:val="20"/>
                <w:szCs w:val="20"/>
                <w:color w:val="auto"/>
              </w:rPr>
            </w:pPr>
            <w:r>
              <w:rPr>
                <w:rFonts w:ascii="Arial" w:cs="Arial" w:eastAsia="Arial" w:hAnsi="Arial"/>
                <w:sz w:val="17"/>
                <w:szCs w:val="17"/>
                <w:i w:val="1"/>
                <w:iCs w:val="1"/>
                <w:color w:val="auto"/>
                <w:w w:val="92"/>
              </w:rPr>
              <w:t>(Unaudited)</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55"/>
        </w:trPr>
        <w:tc>
          <w:tcPr>
            <w:tcW w:w="8000" w:type="dxa"/>
            <w:vAlign w:val="bottom"/>
          </w:tcPr>
          <w:p>
            <w:pPr>
              <w:spacing w:after="0"/>
              <w:rPr>
                <w:sz w:val="24"/>
                <w:szCs w:val="24"/>
                <w:color w:val="auto"/>
              </w:rPr>
            </w:pPr>
          </w:p>
        </w:tc>
        <w:tc>
          <w:tcPr>
            <w:tcW w:w="2680" w:type="dxa"/>
            <w:vAlign w:val="bottom"/>
            <w:gridSpan w:val="4"/>
          </w:tcPr>
          <w:p>
            <w:pPr>
              <w:jc w:val="right"/>
              <w:spacing w:after="0"/>
              <w:rPr>
                <w:sz w:val="20"/>
                <w:szCs w:val="20"/>
                <w:color w:val="auto"/>
              </w:rPr>
            </w:pPr>
            <w:r>
              <w:rPr>
                <w:rFonts w:ascii="Arial" w:cs="Arial" w:eastAsia="Arial" w:hAnsi="Arial"/>
                <w:sz w:val="17"/>
                <w:szCs w:val="17"/>
                <w:b w:val="1"/>
                <w:bCs w:val="1"/>
                <w:color w:val="auto"/>
              </w:rPr>
              <w:t>Six months ended June 30,</w:t>
            </w:r>
          </w:p>
        </w:tc>
        <w:tc>
          <w:tcPr>
            <w:tcW w:w="560" w:type="dxa"/>
            <w:vAlign w:val="bottom"/>
          </w:tcPr>
          <w:p>
            <w:pPr>
              <w:spacing w:after="0"/>
              <w:rPr>
                <w:sz w:val="24"/>
                <w:szCs w:val="24"/>
                <w:color w:val="auto"/>
              </w:rPr>
            </w:pPr>
          </w:p>
        </w:tc>
      </w:tr>
      <w:tr>
        <w:trPr>
          <w:trHeight w:val="26"/>
        </w:trPr>
        <w:tc>
          <w:tcPr>
            <w:tcW w:w="8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0"/>
        </w:trPr>
        <w:tc>
          <w:tcPr>
            <w:tcW w:w="8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560" w:type="dxa"/>
            <w:vAlign w:val="bottom"/>
          </w:tcPr>
          <w:p>
            <w:pPr>
              <w:spacing w:after="0"/>
              <w:rPr>
                <w:sz w:val="19"/>
                <w:szCs w:val="19"/>
                <w:color w:val="auto"/>
              </w:rPr>
            </w:pPr>
          </w:p>
        </w:tc>
      </w:tr>
      <w:tr>
        <w:trPr>
          <w:trHeight w:val="26"/>
        </w:trPr>
        <w:tc>
          <w:tcPr>
            <w:tcW w:w="8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07"/>
        </w:trPr>
        <w:tc>
          <w:tcPr>
            <w:tcW w:w="8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 from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0" w:type="dxa"/>
            <w:vAlign w:val="bottom"/>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56.8</w:t>
            </w:r>
          </w:p>
        </w:tc>
        <w:tc>
          <w:tcPr>
            <w:tcW w:w="100" w:type="dxa"/>
            <w:vAlign w:val="bottom"/>
          </w:tcPr>
          <w:p>
            <w:pPr>
              <w:spacing w:after="0"/>
              <w:rPr>
                <w:sz w:val="19"/>
                <w:szCs w:val="19"/>
                <w:color w:val="auto"/>
              </w:rPr>
            </w:pPr>
          </w:p>
        </w:tc>
        <w:tc>
          <w:tcPr>
            <w:tcW w:w="1000" w:type="dxa"/>
            <w:vAlign w:val="bottom"/>
          </w:tcPr>
          <w:p>
            <w:pPr>
              <w:jc w:val="right"/>
              <w:ind w:right="79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(29.1)</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Depreciation and amortization</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91.9</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Stock-based compensation</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116.4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123.7</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Net gains on equity investments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deferred commissions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Other</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Trade and other receivables, net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Other assets</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26.2</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payable</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Accrued and other current liabilities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10.5</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Accrued compensation and benefits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Deferred revenue</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28.0</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non-current 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Tenant improvement allowance reimbursement</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28.5</w:t>
            </w:r>
          </w:p>
        </w:tc>
      </w:tr>
      <w:tr>
        <w:trPr>
          <w:trHeight w:val="26"/>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192.0</w:t>
            </w:r>
          </w:p>
        </w:tc>
      </w:tr>
      <w:tr>
        <w:trPr>
          <w:trHeight w:val="208"/>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Cash flow from investing activities</w:t>
            </w: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39"/>
        </w:trPr>
        <w:tc>
          <w:tcPr>
            <w:tcW w:w="8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Capital expenditures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(63.4)</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Business combinations, net of cash acquired</w:t>
            </w:r>
          </w:p>
        </w:tc>
        <w:tc>
          <w:tcPr>
            <w:tcW w:w="10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(171.6)</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Purchases of short-term investments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(429.2)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(389.7)</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Proceeds from sales of short-term investments</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145.3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181.0</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Proceeds from maturities of short-term investments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161.6</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Other</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11.6</w:t>
            </w:r>
          </w:p>
        </w:tc>
      </w:tr>
      <w:tr>
        <w:trPr>
          <w:trHeight w:val="26"/>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(270.5)</w:t>
            </w:r>
          </w:p>
        </w:tc>
      </w:tr>
      <w:tr>
        <w:trPr>
          <w:trHeight w:val="208"/>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Cash flow from financing activities</w:t>
            </w: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39"/>
        </w:trPr>
        <w:tc>
          <w:tcPr>
            <w:tcW w:w="8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Shares repurchased for tax withholdings on release of restricted stock units and awards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(48.1)</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Proceeds from issuance of common stock, net of repurchases</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2.0</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Principal payments on finance lease obligations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(50.6)</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Common stock repurchases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(139.8)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20"/>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(226.2)</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(97.4)</w:t>
            </w:r>
          </w:p>
        </w:tc>
      </w:tr>
      <w:tr>
        <w:trPr>
          <w:trHeight w:val="26"/>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r>
      <w:tr>
        <w:trPr>
          <w:trHeight w:val="220"/>
        </w:trPr>
        <w:tc>
          <w:tcPr>
            <w:tcW w:w="8000" w:type="dxa"/>
            <w:vAlign w:val="bottom"/>
          </w:tcPr>
          <w:p>
            <w:pPr>
              <w:ind w:left="20"/>
              <w:spacing w:after="0"/>
              <w:rPr>
                <w:sz w:val="20"/>
                <w:szCs w:val="20"/>
                <w:color w:val="auto"/>
              </w:rPr>
            </w:pPr>
            <w:r>
              <w:rPr>
                <w:rFonts w:ascii="Arial" w:cs="Arial" w:eastAsia="Arial" w:hAnsi="Arial"/>
                <w:sz w:val="17"/>
                <w:szCs w:val="17"/>
                <w:color w:val="auto"/>
              </w:rPr>
              <w:t>Change in cash and cash equivalents</w:t>
            </w: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(217.2)</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(175.7)</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 beginning of period</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551.3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519.3</w:t>
            </w:r>
          </w:p>
        </w:tc>
      </w:tr>
      <w:tr>
        <w:trPr>
          <w:trHeight w:val="220"/>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 end of period</w:t>
            </w:r>
          </w:p>
        </w:tc>
        <w:tc>
          <w:tcPr>
            <w:tcW w:w="1000" w:type="dxa"/>
            <w:vAlign w:val="bottom"/>
            <w:tcBorders>
              <w:top w:val="single" w:sz="8" w:color="auto"/>
            </w:tcBorders>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334.1</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795"/>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343.6</w:t>
            </w:r>
          </w:p>
        </w:tc>
      </w:tr>
      <w:tr>
        <w:trPr>
          <w:trHeight w:val="66"/>
        </w:trPr>
        <w:tc>
          <w:tcPr>
            <w:tcW w:w="80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r>
      <w:tr>
        <w:trPr>
          <w:trHeight w:val="245"/>
        </w:trPr>
        <w:tc>
          <w:tcPr>
            <w:tcW w:w="80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data:</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6"/>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Property and equipment acquired under finance leases</w:t>
            </w:r>
          </w:p>
        </w:tc>
        <w:tc>
          <w:tcPr>
            <w:tcW w:w="100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23"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the Business and Summary of Significant Accounting Policies</w:t>
      </w:r>
    </w:p>
    <w:p>
      <w:pPr>
        <w:spacing w:after="0" w:line="31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Business</w:t>
      </w:r>
    </w:p>
    <w:p>
      <w:pPr>
        <w:spacing w:after="0" w:line="109" w:lineRule="exact"/>
        <w:rPr>
          <w:sz w:val="20"/>
          <w:szCs w:val="20"/>
          <w:color w:val="auto"/>
        </w:rPr>
      </w:pPr>
    </w:p>
    <w:p>
      <w:pPr>
        <w:ind w:right="380" w:firstLine="406"/>
        <w:spacing w:after="0" w:line="272" w:lineRule="auto"/>
        <w:rPr>
          <w:sz w:val="20"/>
          <w:szCs w:val="20"/>
          <w:color w:val="auto"/>
        </w:rPr>
      </w:pPr>
      <w:r>
        <w:rPr>
          <w:rFonts w:ascii="Arial" w:cs="Arial" w:eastAsia="Arial" w:hAnsi="Arial"/>
          <w:sz w:val="17"/>
          <w:szCs w:val="17"/>
          <w:color w:val="auto"/>
        </w:rPr>
        <w:t>Dropbox, Inc. (the “Company” or “Dropbox”) is the world's first smart workspace. Dropbox was incorporated in May 2007 as Evenflow, Inc., a Delaware corporation, and changed its name to Dropbox, Inc. in October 2009. The Company is headquartered in San Francisco, California.</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09" w:lineRule="exact"/>
        <w:rPr>
          <w:sz w:val="20"/>
          <w:szCs w:val="20"/>
          <w:color w:val="auto"/>
        </w:rPr>
      </w:pPr>
    </w:p>
    <w:p>
      <w:pPr>
        <w:ind w:right="400" w:firstLine="406"/>
        <w:spacing w:after="0" w:line="257"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78" w:lineRule="exact"/>
        <w:rPr>
          <w:sz w:val="20"/>
          <w:szCs w:val="20"/>
          <w:color w:val="auto"/>
        </w:rPr>
      </w:pPr>
    </w:p>
    <w:p>
      <w:pPr>
        <w:ind w:right="380" w:firstLine="406"/>
        <w:spacing w:after="0" w:line="302" w:lineRule="auto"/>
        <w:rPr>
          <w:sz w:val="20"/>
          <w:szCs w:val="20"/>
          <w:color w:val="auto"/>
        </w:rPr>
      </w:pPr>
      <w:r>
        <w:rPr>
          <w:rFonts w:ascii="Arial" w:cs="Arial" w:eastAsia="Arial" w:hAnsi="Arial"/>
          <w:sz w:val="15"/>
          <w:szCs w:val="15"/>
          <w:color w:val="auto"/>
        </w:rPr>
        <w:t>The condensed consolidated balance sheet as of December 31, 2019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(loss), statements of stockholders' equity and the statements of cash flows for the interim periods, but are not necessarily indicative of the results of operations to be anticipated for the full fiscal year ended December 31, 2020 or any future period.</w:t>
      </w:r>
    </w:p>
    <w:p>
      <w:pPr>
        <w:spacing w:after="0" w:line="147" w:lineRule="exact"/>
        <w:rPr>
          <w:sz w:val="20"/>
          <w:szCs w:val="20"/>
          <w:color w:val="auto"/>
        </w:rPr>
      </w:pPr>
    </w:p>
    <w:p>
      <w:pPr>
        <w:ind w:right="300" w:firstLine="406"/>
        <w:spacing w:after="0" w:line="341" w:lineRule="auto"/>
        <w:rPr>
          <w:sz w:val="20"/>
          <w:szCs w:val="20"/>
          <w:color w:val="auto"/>
        </w:rPr>
      </w:pPr>
      <w:r>
        <w:rPr>
          <w:rFonts w:ascii="Arial" w:cs="Arial" w:eastAsia="Arial" w:hAnsi="Arial"/>
          <w:sz w:val="15"/>
          <w:szCs w:val="15"/>
          <w:color w:val="auto"/>
        </w:rPr>
        <w:t>The unaudited condensed consolidated financial statements should be read in conjunction with the audited consolidated financial statements and the related notes thereto as of and for the year ended December 31, 2019, included in the Company's Annual Report on Form 10-K on file with the SEC ("Annual Report").</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9" w:lineRule="exact"/>
        <w:rPr>
          <w:sz w:val="20"/>
          <w:szCs w:val="20"/>
          <w:color w:val="auto"/>
        </w:rPr>
      </w:pPr>
    </w:p>
    <w:p>
      <w:pPr>
        <w:ind w:right="160" w:firstLine="406"/>
        <w:spacing w:after="0" w:line="257"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Company’s most significant estimates and judgments involves the valuation of acquired intangible assets and goodwill from business combinations.</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Financial information about segments and geographic areas</w:t>
      </w:r>
    </w:p>
    <w:p>
      <w:pPr>
        <w:spacing w:after="0" w:line="109" w:lineRule="exact"/>
        <w:rPr>
          <w:sz w:val="20"/>
          <w:szCs w:val="20"/>
          <w:color w:val="auto"/>
        </w:rPr>
      </w:pPr>
    </w:p>
    <w:p>
      <w:pPr>
        <w:ind w:firstLine="406"/>
        <w:spacing w:after="0" w:line="257"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09" w:lineRule="exact"/>
        <w:rPr>
          <w:sz w:val="20"/>
          <w:szCs w:val="20"/>
          <w:color w:val="auto"/>
        </w:rPr>
      </w:pPr>
    </w:p>
    <w:p>
      <w:pPr>
        <w:ind w:right="60" w:firstLine="406"/>
        <w:spacing w:after="0" w:line="261" w:lineRule="auto"/>
        <w:rPr>
          <w:sz w:val="20"/>
          <w:szCs w:val="20"/>
          <w:color w:val="auto"/>
        </w:rPr>
      </w:pPr>
      <w:r>
        <w:rPr>
          <w:rFonts w:ascii="Arial" w:cs="Arial" w:eastAsia="Arial" w:hAnsi="Arial"/>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20"/>
          </w:cols>
          <w:pgMar w:left="320" w:top="123" w:right="3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right="100" w:firstLine="406"/>
        <w:spacing w:after="0" w:line="255"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gains of $1.2 million and losses of $0.1 million during the three and six months ended June 30, 2020, respectively, and net foreign currency transaction losses of $0.5 million during both the three and six months ended June 30, 2019, respectively.</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9" w:lineRule="exact"/>
        <w:rPr>
          <w:sz w:val="20"/>
          <w:szCs w:val="20"/>
          <w:color w:val="auto"/>
        </w:rPr>
      </w:pPr>
    </w:p>
    <w:p>
      <w:pPr>
        <w:jc w:val="both"/>
        <w:ind w:firstLine="406"/>
        <w:spacing w:after="0" w:line="341" w:lineRule="auto"/>
        <w:rPr>
          <w:sz w:val="20"/>
          <w:szCs w:val="20"/>
          <w:color w:val="auto"/>
        </w:rPr>
      </w:pPr>
      <w:r>
        <w:rPr>
          <w:rFonts w:ascii="Arial" w:cs="Arial" w:eastAsia="Arial" w:hAnsi="Arial"/>
          <w:sz w:val="15"/>
          <w:szCs w:val="15"/>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18" w:lineRule="exact"/>
        <w:rPr>
          <w:sz w:val="20"/>
          <w:szCs w:val="20"/>
          <w:color w:val="auto"/>
        </w:rPr>
      </w:pPr>
    </w:p>
    <w:p>
      <w:pPr>
        <w:ind w:left="920" w:hanging="309"/>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09" w:lineRule="exact"/>
        <w:rPr>
          <w:rFonts w:ascii="Arial" w:cs="Arial" w:eastAsia="Arial" w:hAnsi="Arial"/>
          <w:sz w:val="17"/>
          <w:szCs w:val="17"/>
          <w:color w:val="auto"/>
        </w:rPr>
      </w:pPr>
    </w:p>
    <w:p>
      <w:pPr>
        <w:ind w:left="920" w:hanging="309"/>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09" w:lineRule="exact"/>
        <w:rPr>
          <w:rFonts w:ascii="Arial" w:cs="Arial" w:eastAsia="Arial" w:hAnsi="Arial"/>
          <w:sz w:val="17"/>
          <w:szCs w:val="17"/>
          <w:color w:val="auto"/>
        </w:rPr>
      </w:pPr>
    </w:p>
    <w:p>
      <w:pPr>
        <w:ind w:left="920" w:hanging="309"/>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09" w:lineRule="exact"/>
        <w:rPr>
          <w:rFonts w:ascii="Arial" w:cs="Arial" w:eastAsia="Arial" w:hAnsi="Arial"/>
          <w:sz w:val="17"/>
          <w:szCs w:val="17"/>
          <w:color w:val="auto"/>
        </w:rPr>
      </w:pPr>
    </w:p>
    <w:p>
      <w:pPr>
        <w:ind w:left="920" w:hanging="309"/>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09" w:lineRule="exact"/>
        <w:rPr>
          <w:rFonts w:ascii="Arial" w:cs="Arial" w:eastAsia="Arial" w:hAnsi="Arial"/>
          <w:sz w:val="17"/>
          <w:szCs w:val="17"/>
          <w:color w:val="auto"/>
        </w:rPr>
      </w:pPr>
    </w:p>
    <w:p>
      <w:pPr>
        <w:ind w:left="920" w:hanging="309"/>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11" w:lineRule="exact"/>
        <w:rPr>
          <w:sz w:val="20"/>
          <w:szCs w:val="20"/>
          <w:color w:val="auto"/>
        </w:rPr>
      </w:pPr>
    </w:p>
    <w:p>
      <w:pPr>
        <w:ind w:right="140" w:firstLine="406"/>
        <w:spacing w:after="0" w:line="297"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51" w:lineRule="exact"/>
        <w:rPr>
          <w:sz w:val="20"/>
          <w:szCs w:val="20"/>
          <w:color w:val="auto"/>
        </w:rPr>
      </w:pPr>
    </w:p>
    <w:p>
      <w:pPr>
        <w:jc w:val="both"/>
        <w:ind w:right="80" w:firstLine="406"/>
        <w:spacing w:after="0" w:line="284"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59" w:lineRule="exact"/>
        <w:rPr>
          <w:sz w:val="20"/>
          <w:szCs w:val="20"/>
          <w:color w:val="auto"/>
        </w:rPr>
      </w:pPr>
    </w:p>
    <w:p>
      <w:pPr>
        <w:jc w:val="both"/>
        <w:ind w:right="100" w:firstLine="406"/>
        <w:spacing w:after="0" w:line="272" w:lineRule="auto"/>
        <w:rPr>
          <w:sz w:val="20"/>
          <w:szCs w:val="20"/>
          <w:color w:val="auto"/>
        </w:rPr>
      </w:pPr>
      <w:r>
        <w:rPr>
          <w:rFonts w:ascii="Arial" w:cs="Arial" w:eastAsia="Arial" w:hAnsi="Arial"/>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66" w:lineRule="exact"/>
        <w:rPr>
          <w:sz w:val="20"/>
          <w:szCs w:val="20"/>
          <w:color w:val="auto"/>
        </w:rPr>
      </w:pPr>
    </w:p>
    <w:p>
      <w:pPr>
        <w:jc w:val="both"/>
        <w:ind w:right="440" w:firstLine="406"/>
        <w:spacing w:after="0" w:line="261" w:lineRule="auto"/>
        <w:rPr>
          <w:sz w:val="20"/>
          <w:szCs w:val="20"/>
          <w:color w:val="auto"/>
        </w:rPr>
      </w:pPr>
      <w:r>
        <w:rPr>
          <w:rFonts w:ascii="Arial" w:cs="Arial" w:eastAsia="Arial" w:hAnsi="Arial"/>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75" w:lineRule="exact"/>
        <w:rPr>
          <w:sz w:val="20"/>
          <w:szCs w:val="20"/>
          <w:color w:val="auto"/>
        </w:rPr>
      </w:pPr>
    </w:p>
    <w:p>
      <w:pPr>
        <w:ind w:right="100" w:firstLine="406"/>
        <w:spacing w:after="0" w:line="261" w:lineRule="auto"/>
        <w:rPr>
          <w:sz w:val="20"/>
          <w:szCs w:val="20"/>
          <w:color w:val="auto"/>
        </w:rPr>
      </w:pPr>
      <w:r>
        <w:rPr>
          <w:rFonts w:ascii="Arial" w:cs="Arial" w:eastAsia="Arial" w:hAnsi="Arial"/>
          <w:sz w:val="17"/>
          <w:szCs w:val="17"/>
          <w:color w:val="auto"/>
        </w:rPr>
        <w:t>The Company recognized $267.1 million and $421.2 million of revenue during the three and six months ended June 30, 2020, respectively, and recognized $233.9 million and $365.9 million of revenue during the three and six months ended June 30, 2019, respectively, that was included in the deferred revenue balances at the beginning of their respective periods.</w:t>
      </w:r>
    </w:p>
    <w:p>
      <w:pPr>
        <w:spacing w:after="0" w:line="175" w:lineRule="exact"/>
        <w:rPr>
          <w:sz w:val="20"/>
          <w:szCs w:val="20"/>
          <w:color w:val="auto"/>
        </w:rPr>
      </w:pPr>
    </w:p>
    <w:p>
      <w:pPr>
        <w:ind w:right="600" w:firstLine="406"/>
        <w:spacing w:after="0" w:line="272" w:lineRule="auto"/>
        <w:rPr>
          <w:sz w:val="20"/>
          <w:szCs w:val="20"/>
          <w:color w:val="auto"/>
        </w:rPr>
      </w:pPr>
      <w:r>
        <w:rPr>
          <w:rFonts w:ascii="Arial" w:cs="Arial" w:eastAsia="Arial" w:hAnsi="Arial"/>
          <w:sz w:val="17"/>
          <w:szCs w:val="17"/>
          <w:color w:val="auto"/>
        </w:rPr>
        <w:t>As of June 30, 2020, future estimated revenue related to performance obligations that were unsatisfied or partially unsatisfied was $640.9 million. The substantial majority of the unsatisfied performance obligations will be satisfied over the next twelve months.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9" w:lineRule="exact"/>
        <w:rPr>
          <w:sz w:val="20"/>
          <w:szCs w:val="20"/>
          <w:color w:val="auto"/>
        </w:rPr>
      </w:pPr>
    </w:p>
    <w:p>
      <w:pPr>
        <w:ind w:firstLine="406"/>
        <w:spacing w:after="0" w:line="261" w:lineRule="auto"/>
        <w:rPr>
          <w:sz w:val="20"/>
          <w:szCs w:val="20"/>
          <w:color w:val="auto"/>
        </w:rPr>
      </w:pPr>
      <w:r>
        <w:rPr>
          <w:rFonts w:ascii="Arial" w:cs="Arial" w:eastAsia="Arial" w:hAnsi="Arial"/>
          <w:sz w:val="17"/>
          <w:szCs w:val="17"/>
          <w:color w:val="auto"/>
        </w:rPr>
        <w:t>The Company has granted RSUs to its employees and members of the Board of Directors under the 2008 Equity Incentive Plan (“2008 Plan”), the 2017 Equity Incentive Plan (“2017 Plan”), and the 2018 Equity Incentive Plan ("2018 Plan" and together with the 2008 Plan and 2017 Plan, the "Dropbox Equity Incentive Plans"). The Company has granted the following types of RSUs under the Dropbox Equity Incentive Plans: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180"/>
          </w:cols>
          <w:pgMar w:left="320" w:top="123" w:right="3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left="920" w:hanging="309"/>
        <w:spacing w:after="0" w:line="257"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One-tier RSUs, which have a service-based vesting condition over a four-year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178" w:lineRule="exact"/>
        <w:rPr>
          <w:rFonts w:ascii="Arial" w:cs="Arial" w:eastAsia="Arial" w:hAnsi="Arial"/>
          <w:sz w:val="17"/>
          <w:szCs w:val="17"/>
          <w:color w:val="auto"/>
        </w:rPr>
      </w:pPr>
    </w:p>
    <w:p>
      <w:pPr>
        <w:ind w:left="920" w:right="80" w:hanging="309"/>
        <w:spacing w:after="0" w:line="278"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Two-tier RSUs, which had both a service-based vesting condition and a Performance Vesting Condition. The Performance Vesting Condition was satisfied on the effectiveness of the registration statement related to the Company's IPO. Prior to August 2015, the Company granted two-tier RSUs under the 2008 Plan. The last grant date for two-tier RSUs was in May 2015. The Company recognized compensation expense associated with two-tier RSUs using the accelerated attribution method over the requisite service period.</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June 30, 2020, the Company only had one-tier RSUs outstanding under the Dropbox Equity Incentive Plans.</w:t>
      </w:r>
    </w:p>
    <w:p>
      <w:pPr>
        <w:spacing w:after="0" w:line="211" w:lineRule="exact"/>
        <w:rPr>
          <w:sz w:val="20"/>
          <w:szCs w:val="20"/>
          <w:color w:val="auto"/>
        </w:rPr>
      </w:pPr>
    </w:p>
    <w:p>
      <w:pPr>
        <w:ind w:right="40" w:firstLine="406"/>
        <w:spacing w:after="0" w:line="254" w:lineRule="auto"/>
        <w:rPr>
          <w:sz w:val="20"/>
          <w:szCs w:val="20"/>
          <w:color w:val="auto"/>
        </w:rPr>
      </w:pPr>
      <w:r>
        <w:rPr>
          <w:rFonts w:ascii="Arial" w:cs="Arial" w:eastAsia="Arial" w:hAnsi="Arial"/>
          <w:sz w:val="17"/>
          <w:szCs w:val="17"/>
          <w:color w:val="auto"/>
        </w:rPr>
        <w:t>Since August 2015, the Company has granted one-tier RSUs as the only stock-based payment awards to its employees, with the exception of awards granted to its co-founders and certain executives, and has not granted any stock options to employees since then. The fair values of the common stock underlying the RSUs granted in periods prior to the date of the Company's IPO were determined by the Board of Directors, with input from management and contemporaneous third-party valuations, which were performed at least quarterly. For valuations after the Company's IPO, the Board of Directors determines the fair value of each share of underlying common stock based on the closing price of the Company's Class A common stock as reported on the Nasdaq Global Select Market on the date of the grant.</w:t>
      </w:r>
    </w:p>
    <w:p>
      <w:pPr>
        <w:spacing w:after="0" w:line="180" w:lineRule="exact"/>
        <w:rPr>
          <w:sz w:val="20"/>
          <w:szCs w:val="20"/>
          <w:color w:val="auto"/>
        </w:rPr>
      </w:pPr>
    </w:p>
    <w:p>
      <w:pPr>
        <w:ind w:right="280" w:firstLine="406"/>
        <w:spacing w:after="0" w:line="261" w:lineRule="auto"/>
        <w:rPr>
          <w:sz w:val="20"/>
          <w:szCs w:val="20"/>
          <w:color w:val="auto"/>
        </w:rPr>
      </w:pPr>
      <w:r>
        <w:rPr>
          <w:rFonts w:ascii="Arial" w:cs="Arial" w:eastAsia="Arial" w:hAnsi="Arial"/>
          <w:sz w:val="17"/>
          <w:szCs w:val="17"/>
          <w:color w:val="auto"/>
        </w:rPr>
        <w:t>In connection with the acquisition of JN Projects, Inc. (d/b/a HelloSign) ("HelloSign"), the Company assumed unvested stock options that had been granted under the HelloSign's 2011 Equity Incentive Plan. The fair value of options assumed were based upon the Black-Scholes option-pricing model, see Note 12, "Stockholders' Equity" for further information.</w:t>
      </w:r>
    </w:p>
    <w:p>
      <w:pPr>
        <w:spacing w:after="0" w:line="175" w:lineRule="exact"/>
        <w:rPr>
          <w:sz w:val="20"/>
          <w:szCs w:val="20"/>
          <w:color w:val="auto"/>
        </w:rPr>
      </w:pPr>
    </w:p>
    <w:p>
      <w:pPr>
        <w:ind w:firstLine="406"/>
        <w:spacing w:after="0" w:line="252" w:lineRule="auto"/>
        <w:rPr>
          <w:sz w:val="20"/>
          <w:szCs w:val="20"/>
          <w:color w:val="auto"/>
        </w:rPr>
      </w:pPr>
      <w:r>
        <w:rPr>
          <w:rFonts w:ascii="Arial" w:cs="Arial" w:eastAsia="Arial" w:hAnsi="Arial"/>
          <w:sz w:val="17"/>
          <w:szCs w:val="17"/>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a former director. These Co-Founder Grants have service-based, market-based, and performance-based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Effective March 19, 2020, Mr. Ferdowsi resigned as a member of the Board of Directors and as an officer of the Company. As of the date of Mr. Ferdowsi's resignation, none of the Stock Price Targets had been met, resulting in the forfeiture of his 4.4 million RSAs. See Note 12, "Stockholders' Equity" for further information.</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11" w:lineRule="exact"/>
        <w:rPr>
          <w:sz w:val="20"/>
          <w:szCs w:val="20"/>
          <w:color w:val="auto"/>
        </w:rPr>
      </w:pPr>
    </w:p>
    <w:p>
      <w:pPr>
        <w:ind w:firstLine="406"/>
        <w:spacing w:after="0" w:line="269"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also known as Basic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27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9" w:lineRule="exact"/>
        <w:rPr>
          <w:sz w:val="20"/>
          <w:szCs w:val="20"/>
          <w:color w:val="auto"/>
        </w:rPr>
      </w:pPr>
    </w:p>
    <w:p>
      <w:pPr>
        <w:ind w:firstLine="406"/>
        <w:spacing w:after="0" w:line="261" w:lineRule="auto"/>
        <w:rPr>
          <w:sz w:val="20"/>
          <w:szCs w:val="20"/>
          <w:color w:val="auto"/>
        </w:rPr>
      </w:pPr>
      <w:r>
        <w:rPr>
          <w:rFonts w:ascii="Arial" w:cs="Arial" w:eastAsia="Arial" w:hAnsi="Arial"/>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20"/>
          </w:cols>
          <w:pgMar w:left="320" w:top="123" w:right="3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right="440" w:firstLine="381"/>
        <w:spacing w:after="0" w:line="272" w:lineRule="auto"/>
        <w:rPr>
          <w:sz w:val="20"/>
          <w:szCs w:val="20"/>
          <w:color w:val="auto"/>
        </w:rPr>
      </w:pPr>
      <w:r>
        <w:rPr>
          <w:rFonts w:ascii="Arial" w:cs="Arial" w:eastAsia="Arial" w:hAnsi="Arial"/>
          <w:sz w:val="17"/>
          <w:szCs w:val="17"/>
          <w:color w:val="auto"/>
        </w:rPr>
        <w:t>The Company monitors its credit risk by considering factors such as historical experience, credit ratings, current economic conditions, and reasonable and supportable forecasts.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09" w:lineRule="exact"/>
        <w:rPr>
          <w:sz w:val="20"/>
          <w:szCs w:val="20"/>
          <w:color w:val="auto"/>
        </w:rPr>
      </w:pPr>
    </w:p>
    <w:p>
      <w:pPr>
        <w:ind w:firstLine="381"/>
        <w:spacing w:after="0" w:line="272" w:lineRule="auto"/>
        <w:rPr>
          <w:sz w:val="20"/>
          <w:szCs w:val="20"/>
          <w:color w:val="auto"/>
        </w:rPr>
      </w:pPr>
      <w:r>
        <w:rPr>
          <w:rFonts w:ascii="Arial" w:cs="Arial" w:eastAsia="Arial" w:hAnsi="Arial"/>
          <w:sz w:val="16"/>
          <w:szCs w:val="16"/>
          <w:color w:val="auto"/>
        </w:rPr>
        <w:t>The Company’s short-term investments are primarily comprised of corporate notes and obligations, U.S. Treasury securities, certificates of deposit, asset-backed securities, commercial paper, U.S. agency obligations, supranational securities, foreign government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170" w:lineRule="exact"/>
        <w:rPr>
          <w:sz w:val="20"/>
          <w:szCs w:val="20"/>
          <w:color w:val="auto"/>
        </w:rPr>
      </w:pPr>
    </w:p>
    <w:p>
      <w:pPr>
        <w:ind w:right="20" w:firstLine="381"/>
        <w:spacing w:after="0" w:line="292" w:lineRule="auto"/>
        <w:rPr>
          <w:sz w:val="20"/>
          <w:szCs w:val="20"/>
          <w:color w:val="auto"/>
        </w:rPr>
      </w:pPr>
      <w:r>
        <w:rPr>
          <w:rFonts w:ascii="Arial" w:cs="Arial" w:eastAsia="Arial" w:hAnsi="Arial"/>
          <w:sz w:val="15"/>
          <w:szCs w:val="15"/>
          <w:color w:val="auto"/>
        </w:rPr>
        <w:t>The Company's short-term investments are recorded at fair value each reporting period. Unrealized gains and losses on these short-term investments are reported as a separate component of accumulated other comprehensive income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(expense),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six months ended June 30, 2020.</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09" w:lineRule="exact"/>
        <w:rPr>
          <w:sz w:val="20"/>
          <w:szCs w:val="20"/>
          <w:color w:val="auto"/>
        </w:rPr>
      </w:pPr>
    </w:p>
    <w:p>
      <w:pPr>
        <w:ind w:right="280" w:firstLine="406"/>
        <w:spacing w:after="0" w:line="341" w:lineRule="auto"/>
        <w:rPr>
          <w:sz w:val="20"/>
          <w:szCs w:val="20"/>
          <w:color w:val="auto"/>
        </w:rPr>
      </w:pPr>
      <w:r>
        <w:rPr>
          <w:rFonts w:ascii="Arial" w:cs="Arial" w:eastAsia="Arial" w:hAnsi="Arial"/>
          <w:sz w:val="15"/>
          <w:szCs w:val="15"/>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19" w:lineRule="exact"/>
        <w:rPr>
          <w:sz w:val="20"/>
          <w:szCs w:val="20"/>
          <w:color w:val="auto"/>
        </w:rPr>
      </w:pPr>
    </w:p>
    <w:p>
      <w:pPr>
        <w:ind w:right="100" w:firstLine="406"/>
        <w:spacing w:after="0" w:line="341" w:lineRule="auto"/>
        <w:rPr>
          <w:sz w:val="20"/>
          <w:szCs w:val="20"/>
          <w:color w:val="auto"/>
        </w:rPr>
      </w:pPr>
      <w:r>
        <w:rPr>
          <w:rFonts w:ascii="Arial" w:cs="Arial" w:eastAsia="Arial" w:hAnsi="Arial"/>
          <w:sz w:val="15"/>
          <w:szCs w:val="15"/>
          <w:color w:val="auto"/>
        </w:rPr>
        <w:t>One distribution partner accounted for 46% of total trade and other receivables, net as of June 30, 2020. Two distribution partners accounted for 10% and 27% of total trade and other receivables, net as of December 31, 2019. No customer accounted for more than 10% of the Company’s revenue in the periods presented.</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Deferred commissions, net</w:t>
      </w:r>
    </w:p>
    <w:p>
      <w:pPr>
        <w:spacing w:after="0" w:line="109" w:lineRule="exact"/>
        <w:rPr>
          <w:sz w:val="20"/>
          <w:szCs w:val="20"/>
          <w:color w:val="auto"/>
        </w:rPr>
      </w:pPr>
    </w:p>
    <w:p>
      <w:pPr>
        <w:ind w:right="40" w:firstLine="406"/>
        <w:spacing w:after="0" w:line="274" w:lineRule="auto"/>
        <w:rPr>
          <w:sz w:val="20"/>
          <w:szCs w:val="20"/>
          <w:color w:val="auto"/>
        </w:rPr>
      </w:pPr>
      <w:r>
        <w:rPr>
          <w:rFonts w:ascii="Arial" w:cs="Arial" w:eastAsia="Arial" w:hAnsi="Arial"/>
          <w:sz w:val="16"/>
          <w:szCs w:val="16"/>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$11.2 and $19.0 million during the three and six months ended June 30, 2020, respectively, and $6.4 million and $13.7 million during the three and six months ended June 30, 2019, respectively.</w:t>
      </w:r>
    </w:p>
    <w:p>
      <w:pPr>
        <w:spacing w:after="0" w:line="168" w:lineRule="exact"/>
        <w:rPr>
          <w:sz w:val="20"/>
          <w:szCs w:val="20"/>
          <w:color w:val="auto"/>
        </w:rPr>
      </w:pPr>
    </w:p>
    <w:p>
      <w:pPr>
        <w:jc w:val="both"/>
        <w:ind w:right="400" w:firstLine="406"/>
        <w:spacing w:after="0" w:line="341" w:lineRule="auto"/>
        <w:rPr>
          <w:sz w:val="20"/>
          <w:szCs w:val="20"/>
          <w:color w:val="auto"/>
        </w:rPr>
      </w:pPr>
      <w:r>
        <w:rPr>
          <w:rFonts w:ascii="Arial" w:cs="Arial" w:eastAsia="Arial" w:hAnsi="Arial"/>
          <w:sz w:val="15"/>
          <w:szCs w:val="15"/>
          <w:color w:val="auto"/>
        </w:rPr>
        <w:t>Deferred commissions, net included in prepaid and other current assets were $24.9 million and $19.9 million as of June 30, 2020 and December 31, 2019, respectively. Deferred commissions, net included in other assets were $46.7 million and $43.5 million as of June 30, 2020 and December 31, 2019, respectively.</w:t>
      </w:r>
    </w:p>
    <w:p>
      <w:pPr>
        <w:spacing w:after="0" w:line="119" w:lineRule="exact"/>
        <w:rPr>
          <w:sz w:val="20"/>
          <w:szCs w:val="20"/>
          <w:color w:val="auto"/>
        </w:rPr>
      </w:pPr>
    </w:p>
    <w:p>
      <w:pPr>
        <w:ind w:right="180" w:firstLine="406"/>
        <w:spacing w:after="0" w:line="274" w:lineRule="auto"/>
        <w:rPr>
          <w:sz w:val="20"/>
          <w:szCs w:val="20"/>
          <w:color w:val="auto"/>
        </w:rPr>
      </w:pPr>
      <w:r>
        <w:rPr>
          <w:rFonts w:ascii="Arial" w:cs="Arial" w:eastAsia="Arial" w:hAnsi="Arial"/>
          <w:sz w:val="16"/>
          <w:szCs w:val="16"/>
          <w:color w:val="auto"/>
        </w:rPr>
        <w:t>Deferred commissions are typically amortized over a period of benefit of five years. The period of benefit was estimated by considering factors such as historical customer attrition rates, the useful life of the Company’s technology, and the impact of competition in its industry. Amortized costs were $5.7 million and $10.8 million for the three and six months ended June 30, 2020, respectively, and $4.2 million and $8.1 million for the three and six months ended June 30, 2019, respectively. Amortized costs are included in sales and marketing expense in the accompanying condensed consolidated statements of operations. There was no impairment loss in relation to the deferred costs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23"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09" w:lineRule="exact"/>
        <w:rPr>
          <w:sz w:val="20"/>
          <w:szCs w:val="20"/>
          <w:color w:val="auto"/>
        </w:rPr>
      </w:pPr>
    </w:p>
    <w:p>
      <w:pPr>
        <w:ind w:right="100" w:firstLine="406"/>
        <w:spacing w:after="0" w:line="261"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the estimated useful lives of property and equipment: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20" w:type="dxa"/>
            <w:vAlign w:val="bottom"/>
            <w:gridSpan w:val="2"/>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5600" w:type="dxa"/>
            <w:vAlign w:val="bottom"/>
          </w:tcPr>
          <w:p>
            <w:pPr>
              <w:jc w:val="center"/>
              <w:spacing w:after="0"/>
              <w:rPr>
                <w:sz w:val="20"/>
                <w:szCs w:val="20"/>
                <w:color w:val="auto"/>
              </w:rPr>
            </w:pPr>
            <w:r>
              <w:rPr>
                <w:rFonts w:ascii="Arial" w:cs="Arial" w:eastAsia="Arial" w:hAnsi="Arial"/>
                <w:sz w:val="17"/>
                <w:szCs w:val="17"/>
                <w:b w:val="1"/>
                <w:bCs w:val="1"/>
                <w:color w:val="auto"/>
                <w:w w:val="88"/>
              </w:rPr>
              <w:t>Useful life</w:t>
            </w:r>
          </w:p>
        </w:tc>
      </w:tr>
      <w:tr>
        <w:trPr>
          <w:trHeight w:val="26"/>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107"/>
        </w:trPr>
        <w:tc>
          <w:tcPr>
            <w:tcW w:w="5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0" w:type="dxa"/>
            <w:vAlign w:val="bottom"/>
          </w:tcPr>
          <w:p>
            <w:pPr>
              <w:spacing w:after="0"/>
              <w:rPr>
                <w:sz w:val="9"/>
                <w:szCs w:val="9"/>
                <w:color w:val="auto"/>
              </w:rPr>
            </w:pPr>
          </w:p>
        </w:tc>
      </w:tr>
      <w:tr>
        <w:trPr>
          <w:trHeight w:val="23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5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20 to 30 years</w:t>
            </w:r>
          </w:p>
        </w:tc>
      </w:tr>
      <w:tr>
        <w:trPr>
          <w:trHeight w:val="228"/>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5600" w:type="dxa"/>
            <w:vAlign w:val="bottom"/>
          </w:tcPr>
          <w:p>
            <w:pPr>
              <w:jc w:val="center"/>
              <w:spacing w:after="0"/>
              <w:rPr>
                <w:sz w:val="20"/>
                <w:szCs w:val="20"/>
                <w:color w:val="auto"/>
              </w:rPr>
            </w:pPr>
            <w:r>
              <w:rPr>
                <w:rFonts w:ascii="Arial" w:cs="Arial" w:eastAsia="Arial" w:hAnsi="Arial"/>
                <w:sz w:val="17"/>
                <w:szCs w:val="17"/>
                <w:color w:val="auto"/>
                <w:w w:val="87"/>
              </w:rPr>
              <w:t>3 to 5 years</w:t>
            </w:r>
          </w:p>
        </w:tc>
      </w:tr>
      <w:tr>
        <w:trPr>
          <w:trHeight w:val="26"/>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3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Office equipment and other</w:t>
            </w:r>
          </w:p>
        </w:tc>
        <w:tc>
          <w:tcPr>
            <w:tcW w:w="5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3 to 7 years</w:t>
            </w:r>
          </w:p>
        </w:tc>
      </w:tr>
      <w:tr>
        <w:trPr>
          <w:trHeight w:val="228"/>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5600" w:type="dxa"/>
            <w:vAlign w:val="bottom"/>
          </w:tcPr>
          <w:p>
            <w:pPr>
              <w:jc w:val="center"/>
              <w:spacing w:after="0"/>
              <w:rPr>
                <w:sz w:val="20"/>
                <w:szCs w:val="20"/>
                <w:color w:val="auto"/>
              </w:rPr>
            </w:pPr>
            <w:r>
              <w:rPr>
                <w:rFonts w:ascii="Arial" w:cs="Arial" w:eastAsia="Arial" w:hAnsi="Arial"/>
                <w:sz w:val="17"/>
                <w:szCs w:val="17"/>
                <w:color w:val="auto"/>
                <w:w w:val="90"/>
              </w:rPr>
              <w:t>Lesser of estimated useful life or remaining lease term</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Company leases office space, datacenters, and equipment under non-cancelable finance and operating leases with various expiration dates through 2036.</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 Company determines if an arrangement contains a lease at inception.</w:t>
      </w:r>
    </w:p>
    <w:p>
      <w:pPr>
        <w:spacing w:after="0" w:line="199" w:lineRule="exact"/>
        <w:rPr>
          <w:sz w:val="20"/>
          <w:szCs w:val="20"/>
          <w:color w:val="auto"/>
        </w:rPr>
      </w:pPr>
    </w:p>
    <w:p>
      <w:pPr>
        <w:ind w:firstLine="406"/>
        <w:spacing w:after="0" w:line="278" w:lineRule="auto"/>
        <w:rPr>
          <w:sz w:val="20"/>
          <w:szCs w:val="20"/>
          <w:color w:val="auto"/>
        </w:rPr>
      </w:pPr>
      <w:r>
        <w:rPr>
          <w:rFonts w:ascii="Arial" w:cs="Arial" w:eastAsia="Arial" w:hAnsi="Arial"/>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63" w:lineRule="exact"/>
        <w:rPr>
          <w:sz w:val="20"/>
          <w:szCs w:val="20"/>
          <w:color w:val="auto"/>
        </w:rPr>
      </w:pPr>
    </w:p>
    <w:p>
      <w:pPr>
        <w:ind w:right="40" w:firstLine="381"/>
        <w:spacing w:after="0" w:line="255"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180" w:lineRule="exact"/>
        <w:rPr>
          <w:sz w:val="20"/>
          <w:szCs w:val="20"/>
          <w:color w:val="auto"/>
        </w:rPr>
      </w:pPr>
    </w:p>
    <w:p>
      <w:pPr>
        <w:ind w:right="640" w:firstLine="381"/>
        <w:spacing w:after="0" w:line="272" w:lineRule="auto"/>
        <w:rPr>
          <w:sz w:val="20"/>
          <w:szCs w:val="20"/>
          <w:color w:val="auto"/>
        </w:rPr>
      </w:pPr>
      <w:r>
        <w:rPr>
          <w:rFonts w:ascii="Arial" w:cs="Arial" w:eastAsia="Arial" w:hAnsi="Arial"/>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66" w:lineRule="exact"/>
        <w:rPr>
          <w:sz w:val="20"/>
          <w:szCs w:val="20"/>
          <w:color w:val="auto"/>
        </w:rPr>
      </w:pPr>
    </w:p>
    <w:p>
      <w:pPr>
        <w:ind w:right="20" w:firstLine="406"/>
        <w:spacing w:after="0" w:line="255" w:lineRule="auto"/>
        <w:rPr>
          <w:sz w:val="20"/>
          <w:szCs w:val="20"/>
          <w:color w:val="auto"/>
        </w:rPr>
      </w:pPr>
      <w:r>
        <w:rPr>
          <w:rFonts w:ascii="Arial" w:cs="Arial" w:eastAsia="Arial" w:hAnsi="Arial"/>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180" w:lineRule="exact"/>
        <w:rPr>
          <w:sz w:val="20"/>
          <w:szCs w:val="20"/>
          <w:color w:val="auto"/>
        </w:rPr>
      </w:pPr>
    </w:p>
    <w:p>
      <w:pPr>
        <w:ind w:right="240" w:firstLine="406"/>
        <w:spacing w:after="0" w:line="261" w:lineRule="auto"/>
        <w:rPr>
          <w:sz w:val="20"/>
          <w:szCs w:val="20"/>
          <w:color w:val="auto"/>
        </w:rPr>
      </w:pPr>
      <w:r>
        <w:rPr>
          <w:rFonts w:ascii="Arial" w:cs="Arial" w:eastAsia="Arial" w:hAnsi="Arial"/>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7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9" w:lineRule="exact"/>
        <w:rPr>
          <w:sz w:val="20"/>
          <w:szCs w:val="20"/>
          <w:color w:val="auto"/>
        </w:rPr>
      </w:pPr>
    </w:p>
    <w:p>
      <w:pPr>
        <w:ind w:right="20" w:firstLine="406"/>
        <w:spacing w:after="0" w:line="278" w:lineRule="auto"/>
        <w:rPr>
          <w:sz w:val="20"/>
          <w:szCs w:val="20"/>
          <w:color w:val="auto"/>
        </w:rPr>
      </w:pPr>
      <w:r>
        <w:rPr>
          <w:rFonts w:ascii="Arial" w:cs="Arial" w:eastAsia="Arial" w:hAnsi="Arial"/>
          <w:sz w:val="16"/>
          <w:szCs w:val="16"/>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20"/>
          </w:cols>
          <w:pgMar w:left="320" w:top="123" w:right="3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15" w:lineRule="exact"/>
        <w:rPr>
          <w:sz w:val="20"/>
          <w:szCs w:val="20"/>
          <w:color w:val="auto"/>
        </w:rPr>
      </w:pPr>
    </w:p>
    <w:p>
      <w:pPr>
        <w:ind w:right="300" w:firstLine="406"/>
        <w:spacing w:after="0" w:line="272" w:lineRule="auto"/>
        <w:rPr>
          <w:sz w:val="20"/>
          <w:szCs w:val="20"/>
          <w:color w:val="auto"/>
        </w:rPr>
      </w:pPr>
      <w:r>
        <w:rPr>
          <w:rFonts w:ascii="Arial" w:cs="Arial" w:eastAsia="Arial" w:hAnsi="Arial"/>
          <w:sz w:val="17"/>
          <w:szCs w:val="17"/>
          <w:color w:val="auto"/>
        </w:rPr>
        <w:t>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Long-lived assets, including goodwill and other acquired intangible assets, net</w:t>
      </w:r>
    </w:p>
    <w:p>
      <w:pPr>
        <w:spacing w:after="0" w:line="109" w:lineRule="exact"/>
        <w:rPr>
          <w:sz w:val="20"/>
          <w:szCs w:val="20"/>
          <w:color w:val="auto"/>
        </w:rPr>
      </w:pPr>
    </w:p>
    <w:p>
      <w:pPr>
        <w:ind w:right="140" w:firstLine="406"/>
        <w:spacing w:after="0" w:line="274"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68" w:lineRule="exact"/>
        <w:rPr>
          <w:sz w:val="20"/>
          <w:szCs w:val="20"/>
          <w:color w:val="auto"/>
        </w:rPr>
      </w:pPr>
    </w:p>
    <w:p>
      <w:pPr>
        <w:ind w:right="260" w:firstLine="406"/>
        <w:spacing w:after="0" w:line="272" w:lineRule="auto"/>
        <w:rPr>
          <w:sz w:val="20"/>
          <w:szCs w:val="20"/>
          <w:color w:val="auto"/>
        </w:rPr>
      </w:pPr>
      <w:r>
        <w:rPr>
          <w:rFonts w:ascii="Arial" w:cs="Arial" w:eastAsia="Arial" w:hAnsi="Arial"/>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66" w:lineRule="exact"/>
        <w:rPr>
          <w:sz w:val="20"/>
          <w:szCs w:val="20"/>
          <w:color w:val="auto"/>
        </w:rPr>
      </w:pPr>
    </w:p>
    <w:p>
      <w:pPr>
        <w:ind w:right="340" w:firstLine="406"/>
        <w:spacing w:after="0" w:line="272" w:lineRule="auto"/>
        <w:rPr>
          <w:sz w:val="20"/>
          <w:szCs w:val="20"/>
          <w:color w:val="auto"/>
        </w:rPr>
      </w:pPr>
      <w:r>
        <w:rPr>
          <w:rFonts w:ascii="Arial" w:cs="Arial" w:eastAsia="Arial" w:hAnsi="Arial"/>
          <w:sz w:val="17"/>
          <w:szCs w:val="17"/>
          <w:color w:val="auto"/>
        </w:rPr>
        <w:t>The Company has not recorded impairment charges on property and equipment, goodwill, or intangible assets for the periods presented in these condensed consolidated financial statements.</w:t>
      </w:r>
    </w:p>
    <w:p>
      <w:pPr>
        <w:spacing w:after="0" w:line="166" w:lineRule="exact"/>
        <w:rPr>
          <w:sz w:val="20"/>
          <w:szCs w:val="20"/>
          <w:color w:val="auto"/>
        </w:rPr>
      </w:pPr>
    </w:p>
    <w:p>
      <w:pPr>
        <w:ind w:right="140" w:firstLine="406"/>
        <w:spacing w:after="0" w:line="311" w:lineRule="auto"/>
        <w:rPr>
          <w:sz w:val="20"/>
          <w:szCs w:val="20"/>
          <w:color w:val="auto"/>
        </w:rPr>
      </w:pPr>
      <w:r>
        <w:rPr>
          <w:rFonts w:ascii="Arial" w:cs="Arial" w:eastAsia="Arial" w:hAnsi="Arial"/>
          <w:sz w:val="15"/>
          <w:szCs w:val="15"/>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Income taxes</w:t>
      </w:r>
    </w:p>
    <w:p>
      <w:pPr>
        <w:spacing w:after="0" w:line="109" w:lineRule="exact"/>
        <w:rPr>
          <w:sz w:val="20"/>
          <w:szCs w:val="20"/>
          <w:color w:val="auto"/>
        </w:rPr>
      </w:pPr>
    </w:p>
    <w:p>
      <w:pPr>
        <w:ind w:right="140" w:firstLine="406"/>
        <w:spacing w:after="0" w:line="261"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75" w:lineRule="exact"/>
        <w:rPr>
          <w:sz w:val="20"/>
          <w:szCs w:val="20"/>
          <w:color w:val="auto"/>
        </w:rPr>
      </w:pPr>
    </w:p>
    <w:p>
      <w:pPr>
        <w:ind w:right="220" w:firstLine="406"/>
        <w:spacing w:after="0" w:line="261"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75" w:lineRule="exact"/>
        <w:rPr>
          <w:sz w:val="20"/>
          <w:szCs w:val="20"/>
          <w:color w:val="auto"/>
        </w:rPr>
      </w:pPr>
    </w:p>
    <w:p>
      <w:pPr>
        <w:ind w:right="240" w:firstLine="406"/>
        <w:spacing w:after="0" w:line="257" w:lineRule="auto"/>
        <w:rPr>
          <w:sz w:val="20"/>
          <w:szCs w:val="20"/>
          <w:color w:val="auto"/>
        </w:rPr>
      </w:pPr>
      <w:r>
        <w:rPr>
          <w:rFonts w:ascii="Arial" w:cs="Arial" w:eastAsia="Arial" w:hAnsi="Arial"/>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78" w:lineRule="exact"/>
        <w:rPr>
          <w:sz w:val="20"/>
          <w:szCs w:val="20"/>
          <w:color w:val="auto"/>
        </w:rPr>
      </w:pPr>
    </w:p>
    <w:p>
      <w:pPr>
        <w:ind w:right="40" w:firstLine="406"/>
        <w:spacing w:after="0" w:line="255"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2017 Tax Cuts and Jobs Act ("2017 Tax Reform Act"), the 2020 Coronavirus Aid, Relief, and Economic Security Act ("2020 CARES Act"), and the California 2020 Budget Act, correspondence with tax authorities during the course of an audit, and effective settlement of audit issues.</w:t>
      </w:r>
    </w:p>
    <w:p>
      <w:pPr>
        <w:spacing w:after="0" w:line="180" w:lineRule="exact"/>
        <w:rPr>
          <w:sz w:val="20"/>
          <w:szCs w:val="20"/>
          <w:color w:val="auto"/>
        </w:rPr>
      </w:pPr>
    </w:p>
    <w:p>
      <w:pPr>
        <w:ind w:firstLine="406"/>
        <w:spacing w:after="0" w:line="305"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09" w:lineRule="exact"/>
        <w:rPr>
          <w:sz w:val="20"/>
          <w:szCs w:val="20"/>
          <w:color w:val="auto"/>
        </w:rPr>
      </w:pPr>
    </w:p>
    <w:p>
      <w:pPr>
        <w:jc w:val="both"/>
        <w:ind w:right="120" w:firstLine="406"/>
        <w:spacing w:after="0" w:line="261"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20"/>
          </w:cols>
          <w:pgMar w:left="320" w:top="123" w:right="3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60" w:lineRule="exact"/>
        <w:rPr>
          <w:sz w:val="20"/>
          <w:szCs w:val="20"/>
          <w:color w:val="auto"/>
        </w:rPr>
      </w:pPr>
    </w:p>
    <w:p>
      <w:pPr>
        <w:ind w:left="460" w:right="160"/>
        <w:spacing w:after="0" w:line="261"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140"/>
        <w:spacing w:after="0" w:line="272"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generally unobservable and typically reflect management’s estimate of assumptions that market participants would use in pricing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 or liability.</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09" w:lineRule="exact"/>
        <w:rPr>
          <w:sz w:val="20"/>
          <w:szCs w:val="20"/>
          <w:color w:val="auto"/>
        </w:rPr>
      </w:pPr>
    </w:p>
    <w:p>
      <w:pPr>
        <w:ind w:right="180" w:firstLine="305"/>
        <w:spacing w:after="0" w:line="272"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 Company adopted ASU No. 2016-13 on January 1, 2020 using the modified retrospective approach. The cumulative impact of transition to retained earnings, recorded as of the adoption date, was not material to the Company's consolidated financial statements. The Company did not record any material credit losses during the three and six months ended June 30, 2020.</w:t>
      </w:r>
    </w:p>
    <w:p>
      <w:pPr>
        <w:spacing w:after="0" w:line="272" w:lineRule="exact"/>
        <w:rPr>
          <w:sz w:val="20"/>
          <w:szCs w:val="20"/>
          <w:color w:val="auto"/>
        </w:rPr>
      </w:pPr>
    </w:p>
    <w:p>
      <w:pPr>
        <w:jc w:val="both"/>
        <w:ind w:right="100" w:firstLine="305"/>
        <w:spacing w:after="0" w:line="257"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which amends disclosure requirements for fair value measurements by requiring new disclosures, modifying existing requirements, and eliminating others. The amendments are the result of a broader disclosure project, which aims to improve the effectiveness of disclosures. The Company adopted ASU No. 2018-13 on January 1, 2020. The adoption of the standard did not have a material impact on the Company's consolidated financial statements.</w:t>
      </w:r>
    </w:p>
    <w:p>
      <w:pPr>
        <w:spacing w:after="0" w:line="178" w:lineRule="exact"/>
        <w:rPr>
          <w:sz w:val="20"/>
          <w:szCs w:val="20"/>
          <w:color w:val="auto"/>
        </w:rPr>
      </w:pPr>
    </w:p>
    <w:p>
      <w:pPr>
        <w:ind w:right="180" w:firstLine="305"/>
        <w:spacing w:after="0" w:line="255"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The amendments in ASU No. 2018-15 amend the definition of a</w:t>
      </w:r>
      <w:r>
        <w:rPr>
          <w:rFonts w:ascii="Arial" w:cs="Arial" w:eastAsia="Arial" w:hAnsi="Arial"/>
          <w:sz w:val="17"/>
          <w:szCs w:val="17"/>
          <w:i w:val="1"/>
          <w:iCs w:val="1"/>
          <w:color w:val="auto"/>
        </w:rPr>
        <w:t xml:space="preserve"> </w:t>
      </w:r>
      <w:r>
        <w:rPr>
          <w:rFonts w:ascii="Arial" w:cs="Arial" w:eastAsia="Arial" w:hAnsi="Arial"/>
          <w:sz w:val="17"/>
          <w:szCs w:val="17"/>
          <w:color w:val="auto"/>
        </w:rPr>
        <w:t>hosting arrangement and requires a customer in a hosting arrangement that is a service contract to capitalize certain costs as if the arrangement were an internal-use software project. The Company adopted ASU No. 2018-15 on January 1, 2020. The adoption of the standard did not have a material impact on the Company's consolidated financial statements.</w:t>
      </w:r>
    </w:p>
    <w:p>
      <w:pPr>
        <w:spacing w:after="0" w:line="180" w:lineRule="exact"/>
        <w:rPr>
          <w:sz w:val="20"/>
          <w:szCs w:val="20"/>
          <w:color w:val="auto"/>
        </w:rPr>
      </w:pPr>
    </w:p>
    <w:p>
      <w:pPr>
        <w:ind w:right="60" w:firstLine="305"/>
        <w:spacing w:after="0" w:line="25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This ASU simplifies accounting for income taxes by removing the exception to the incremental approach for intraperiod tax allocation when there is a loss from continuing operations and income or gain for other items, the exception to the requirement to recognize a deferred tax liability for equity method investments when a foreign subsidiary becomes an equity method investment, the exception to the ability not to recognize a deferred tax liability for a foreign subsidiary when a foreign equity method investment becomes a subsidiary, and the exception to the general methodology for calculating income taxes in an interim period when a year-to-date loss exceeds the anticipated loss for the year. This ASU also includes other requirements related to franchise tax, goodwill as part of a business combination, consolidations, changes in tax laws, and affordable housing projects. The Company adopted ASU No. 2019-12 on January 1, 2020. The adoption of the standard did not have a material impact on the Company's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23"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215" w:lineRule="exact"/>
        <w:rPr>
          <w:sz w:val="20"/>
          <w:szCs w:val="20"/>
          <w:color w:val="auto"/>
        </w:rPr>
      </w:pPr>
    </w:p>
    <w:p>
      <w:pPr>
        <w:ind w:right="320" w:firstLine="406"/>
        <w:spacing w:after="0" w:line="272" w:lineRule="auto"/>
        <w:rPr>
          <w:sz w:val="20"/>
          <w:szCs w:val="20"/>
          <w:color w:val="auto"/>
        </w:rPr>
      </w:pPr>
      <w:r>
        <w:rPr>
          <w:rFonts w:ascii="Arial" w:cs="Arial" w:eastAsia="Arial" w:hAnsi="Arial"/>
          <w:sz w:val="17"/>
          <w:szCs w:val="17"/>
          <w:color w:val="auto"/>
        </w:rPr>
        <w:t>The amortized cost, unrealized gains and losses and estimated fair value of the Company's cash, cash equivalents and short-term investments as of June 30, 2020 and December 31, 2019 consisted of the following:</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gridSpan w:val="5"/>
          </w:tcPr>
          <w:p>
            <w:pPr>
              <w:ind w:left="1080"/>
              <w:spacing w:after="0"/>
              <w:rPr>
                <w:sz w:val="20"/>
                <w:szCs w:val="20"/>
                <w:color w:val="auto"/>
              </w:rPr>
            </w:pPr>
            <w:r>
              <w:rPr>
                <w:rFonts w:ascii="Arial" w:cs="Arial" w:eastAsia="Arial" w:hAnsi="Arial"/>
                <w:sz w:val="17"/>
                <w:szCs w:val="17"/>
                <w:b w:val="1"/>
                <w:bCs w:val="1"/>
                <w:color w:val="auto"/>
              </w:rPr>
              <w:t>As of June 30, 2020</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ind w:left="140"/>
              <w:spacing w:after="0"/>
              <w:rPr>
                <w:sz w:val="20"/>
                <w:szCs w:val="20"/>
                <w:color w:val="auto"/>
              </w:rPr>
            </w:pPr>
            <w:r>
              <w:rPr>
                <w:rFonts w:ascii="Arial" w:cs="Arial" w:eastAsia="Arial" w:hAnsi="Arial"/>
                <w:sz w:val="17"/>
                <w:szCs w:val="17"/>
                <w:b w:val="1"/>
                <w:bCs w:val="1"/>
                <w:color w:val="auto"/>
              </w:rPr>
              <w:t>Amortized Cost</w:t>
            </w:r>
          </w:p>
        </w:tc>
        <w:tc>
          <w:tcPr>
            <w:tcW w:w="160" w:type="dxa"/>
            <w:vAlign w:val="bottom"/>
          </w:tcPr>
          <w:p>
            <w:pPr>
              <w:spacing w:after="0"/>
              <w:rPr>
                <w:sz w:val="19"/>
                <w:szCs w:val="19"/>
                <w:color w:val="auto"/>
              </w:rPr>
            </w:pPr>
          </w:p>
        </w:tc>
        <w:tc>
          <w:tcPr>
            <w:tcW w:w="1880" w:type="dxa"/>
            <w:vAlign w:val="bottom"/>
            <w:gridSpan w:val="2"/>
          </w:tcPr>
          <w:p>
            <w:pPr>
              <w:ind w:left="220"/>
              <w:spacing w:after="0"/>
              <w:rPr>
                <w:sz w:val="20"/>
                <w:szCs w:val="20"/>
                <w:color w:val="auto"/>
              </w:rPr>
            </w:pPr>
            <w:r>
              <w:rPr>
                <w:rFonts w:ascii="Arial" w:cs="Arial" w:eastAsia="Arial" w:hAnsi="Arial"/>
                <w:sz w:val="17"/>
                <w:szCs w:val="17"/>
                <w:b w:val="1"/>
                <w:bCs w:val="1"/>
                <w:color w:val="auto"/>
              </w:rPr>
              <w:t>Unrealized Gain</w:t>
            </w:r>
          </w:p>
        </w:tc>
        <w:tc>
          <w:tcPr>
            <w:tcW w:w="220" w:type="dxa"/>
            <w:vAlign w:val="bottom"/>
          </w:tcPr>
          <w:p>
            <w:pPr>
              <w:spacing w:after="0"/>
              <w:rPr>
                <w:sz w:val="19"/>
                <w:szCs w:val="19"/>
                <w:color w:val="auto"/>
              </w:rPr>
            </w:pPr>
          </w:p>
        </w:tc>
        <w:tc>
          <w:tcPr>
            <w:tcW w:w="1760" w:type="dxa"/>
            <w:vAlign w:val="bottom"/>
            <w:gridSpan w:val="2"/>
          </w:tcPr>
          <w:p>
            <w:pPr>
              <w:ind w:left="140"/>
              <w:spacing w:after="0"/>
              <w:rPr>
                <w:sz w:val="20"/>
                <w:szCs w:val="20"/>
                <w:color w:val="auto"/>
              </w:rPr>
            </w:pPr>
            <w:r>
              <w:rPr>
                <w:rFonts w:ascii="Arial" w:cs="Arial" w:eastAsia="Arial" w:hAnsi="Arial"/>
                <w:sz w:val="17"/>
                <w:szCs w:val="17"/>
                <w:b w:val="1"/>
                <w:bCs w:val="1"/>
                <w:color w:val="auto"/>
              </w:rPr>
              <w:t>Unrealized Loss</w:t>
            </w:r>
          </w:p>
        </w:tc>
        <w:tc>
          <w:tcPr>
            <w:tcW w:w="140" w:type="dxa"/>
            <w:vAlign w:val="bottom"/>
          </w:tcPr>
          <w:p>
            <w:pPr>
              <w:spacing w:after="0"/>
              <w:rPr>
                <w:sz w:val="19"/>
                <w:szCs w:val="19"/>
                <w:color w:val="auto"/>
              </w:rPr>
            </w:pPr>
          </w:p>
        </w:tc>
        <w:tc>
          <w:tcPr>
            <w:tcW w:w="1760" w:type="dxa"/>
            <w:vAlign w:val="bottom"/>
          </w:tcPr>
          <w:p>
            <w:pPr>
              <w:jc w:val="right"/>
              <w:ind w:right="95"/>
              <w:spacing w:after="0"/>
              <w:rPr>
                <w:sz w:val="20"/>
                <w:szCs w:val="20"/>
                <w:color w:val="auto"/>
              </w:rPr>
            </w:pPr>
            <w:r>
              <w:rPr>
                <w:rFonts w:ascii="Arial" w:cs="Arial" w:eastAsia="Arial" w:hAnsi="Arial"/>
                <w:sz w:val="17"/>
                <w:szCs w:val="17"/>
                <w:b w:val="1"/>
                <w:bCs w:val="1"/>
                <w:color w:val="auto"/>
                <w:w w:val="93"/>
              </w:rPr>
              <w:t>Estimated Fair Value</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3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Cash</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88.5</w:t>
            </w:r>
          </w:p>
        </w:tc>
        <w:tc>
          <w:tcPr>
            <w:tcW w:w="0" w:type="dxa"/>
            <w:vAlign w:val="bottom"/>
          </w:tcPr>
          <w:p>
            <w:pPr>
              <w:spacing w:after="0"/>
              <w:rPr>
                <w:sz w:val="1"/>
                <w:szCs w:val="1"/>
                <w:color w:val="auto"/>
              </w:rPr>
            </w:pPr>
          </w:p>
        </w:tc>
      </w:tr>
      <w:tr>
        <w:trPr>
          <w:trHeight w:val="228"/>
        </w:trPr>
        <w:tc>
          <w:tcPr>
            <w:tcW w:w="326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241.5</w:t>
            </w:r>
          </w:p>
        </w:tc>
        <w:tc>
          <w:tcPr>
            <w:tcW w:w="0" w:type="dxa"/>
            <w:vAlign w:val="bottom"/>
          </w:tcPr>
          <w:p>
            <w:pPr>
              <w:spacing w:after="0"/>
              <w:rPr>
                <w:sz w:val="1"/>
                <w:szCs w:val="1"/>
                <w:color w:val="auto"/>
              </w:rPr>
            </w:pP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240" w:type="dxa"/>
            <w:vAlign w:val="bottom"/>
          </w:tcPr>
          <w:p>
            <w:pPr>
              <w:spacing w:after="0"/>
              <w:rPr>
                <w:sz w:val="19"/>
                <w:szCs w:val="19"/>
                <w:color w:val="auto"/>
              </w:rPr>
            </w:pP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shd w:val="clear" w:color="auto" w:fill="CCEEFF"/>
              </w:rPr>
              <w:t>Commercial paper</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shd w:val="clear" w:color="auto" w:fill="CCEEFF"/>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shd w:val="clear" w:color="auto" w:fill="CCEEFF"/>
              </w:rPr>
              <w:t>1.2</w:t>
            </w:r>
          </w:p>
        </w:tc>
        <w:tc>
          <w:tcPr>
            <w:tcW w:w="0" w:type="dxa"/>
            <w:vAlign w:val="bottom"/>
          </w:tcPr>
          <w:p>
            <w:pPr>
              <w:spacing w:after="0"/>
              <w:rPr>
                <w:sz w:val="1"/>
                <w:szCs w:val="1"/>
                <w:color w:val="auto"/>
              </w:rPr>
            </w:pP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40" w:type="dxa"/>
            <w:vAlign w:val="bottom"/>
          </w:tcPr>
          <w:p>
            <w:pPr>
              <w:spacing w:after="0"/>
              <w:rPr>
                <w:sz w:val="19"/>
                <w:szCs w:val="19"/>
                <w:color w:val="auto"/>
              </w:rPr>
            </w:pP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Total cash and cash equivalents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334.1</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shd w:val="clear" w:color="auto" w:fill="CCEEFF"/>
              </w:rPr>
              <w:t>Corporate notes and obligations</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361.4</w:t>
            </w:r>
          </w:p>
        </w:tc>
        <w:tc>
          <w:tcPr>
            <w:tcW w:w="0" w:type="dxa"/>
            <w:vAlign w:val="bottom"/>
          </w:tcPr>
          <w:p>
            <w:pPr>
              <w:spacing w:after="0"/>
              <w:rPr>
                <w:sz w:val="1"/>
                <w:szCs w:val="1"/>
                <w:color w:val="auto"/>
              </w:rPr>
            </w:pP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240" w:type="dxa"/>
            <w:vAlign w:val="bottom"/>
          </w:tcPr>
          <w:p>
            <w:pPr>
              <w:spacing w:after="0"/>
              <w:rPr>
                <w:sz w:val="19"/>
                <w:szCs w:val="19"/>
                <w:color w:val="auto"/>
              </w:rPr>
            </w:pP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234.1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235.8</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40" w:type="dxa"/>
            <w:vAlign w:val="bottom"/>
          </w:tcPr>
          <w:p>
            <w:pPr>
              <w:spacing w:after="0"/>
              <w:rPr>
                <w:sz w:val="19"/>
                <w:szCs w:val="19"/>
                <w:color w:val="auto"/>
              </w:rPr>
            </w:pP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shd w:val="clear" w:color="auto" w:fill="CCEEFF"/>
              </w:rPr>
              <w:t>U.S. agency obligations</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40" w:type="dxa"/>
            <w:vAlign w:val="bottom"/>
          </w:tcPr>
          <w:p>
            <w:pPr>
              <w:spacing w:after="0"/>
              <w:rPr>
                <w:sz w:val="19"/>
                <w:szCs w:val="19"/>
                <w:color w:val="auto"/>
              </w:rPr>
            </w:pP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26.0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240" w:type="dxa"/>
            <w:vAlign w:val="bottom"/>
          </w:tcPr>
          <w:p>
            <w:pPr>
              <w:spacing w:after="0"/>
              <w:rPr>
                <w:sz w:val="19"/>
                <w:szCs w:val="19"/>
                <w:color w:val="auto"/>
              </w:rPr>
            </w:pP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6"/>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783.5</w:t>
            </w:r>
          </w:p>
        </w:tc>
        <w:tc>
          <w:tcPr>
            <w:tcW w:w="0" w:type="dxa"/>
            <w:vAlign w:val="bottom"/>
          </w:tcPr>
          <w:p>
            <w:pPr>
              <w:spacing w:after="0"/>
              <w:rPr>
                <w:sz w:val="1"/>
                <w:szCs w:val="1"/>
                <w:color w:val="auto"/>
              </w:rPr>
            </w:pPr>
          </w:p>
        </w:tc>
      </w:tr>
      <w:tr>
        <w:trPr>
          <w:trHeight w:val="240"/>
        </w:trPr>
        <w:tc>
          <w:tcPr>
            <w:tcW w:w="326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1,112.1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1,117.6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ind w:right="1455"/>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80" w:type="dxa"/>
            <w:vAlign w:val="bottom"/>
            <w:gridSpan w:val="3"/>
          </w:tcPr>
          <w:p>
            <w:pPr>
              <w:jc w:val="right"/>
              <w:ind w:right="615"/>
              <w:spacing w:after="0"/>
              <w:rPr>
                <w:sz w:val="20"/>
                <w:szCs w:val="20"/>
                <w:color w:val="auto"/>
              </w:rPr>
            </w:pPr>
            <w:r>
              <w:rPr>
                <w:rFonts w:ascii="Arial" w:cs="Arial" w:eastAsia="Arial" w:hAnsi="Arial"/>
                <w:sz w:val="17"/>
                <w:szCs w:val="17"/>
                <w:b w:val="1"/>
                <w:bCs w:val="1"/>
                <w:color w:val="auto"/>
              </w:rPr>
              <w:t>As of December 31, 2019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6"/>
        </w:trPr>
        <w:tc>
          <w:tcPr>
            <w:tcW w:w="3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0"/>
        </w:trPr>
        <w:tc>
          <w:tcPr>
            <w:tcW w:w="3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160"/>
              <w:spacing w:after="0"/>
              <w:rPr>
                <w:sz w:val="20"/>
                <w:szCs w:val="20"/>
                <w:color w:val="auto"/>
              </w:rPr>
            </w:pPr>
            <w:r>
              <w:rPr>
                <w:rFonts w:ascii="Arial" w:cs="Arial" w:eastAsia="Arial" w:hAnsi="Arial"/>
                <w:sz w:val="17"/>
                <w:szCs w:val="17"/>
                <w:b w:val="1"/>
                <w:bCs w:val="1"/>
                <w:color w:val="auto"/>
              </w:rPr>
              <w:t>Amortized cost</w:t>
            </w: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Arial" w:cs="Arial" w:eastAsia="Arial" w:hAnsi="Arial"/>
                <w:sz w:val="17"/>
                <w:szCs w:val="17"/>
                <w:b w:val="1"/>
                <w:bCs w:val="1"/>
                <w:color w:val="auto"/>
              </w:rPr>
              <w:t>Unrealized gain</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Unrealized loss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135"/>
              <w:spacing w:after="0"/>
              <w:rPr>
                <w:sz w:val="20"/>
                <w:szCs w:val="20"/>
                <w:color w:val="auto"/>
              </w:rPr>
            </w:pPr>
            <w:r>
              <w:rPr>
                <w:rFonts w:ascii="Arial" w:cs="Arial" w:eastAsia="Arial" w:hAnsi="Arial"/>
                <w:sz w:val="17"/>
                <w:szCs w:val="17"/>
                <w:b w:val="1"/>
                <w:bCs w:val="1"/>
                <w:color w:val="auto"/>
                <w:w w:val="93"/>
              </w:rPr>
              <w:t>Estimated fair value</w:t>
            </w:r>
          </w:p>
        </w:tc>
      </w:tr>
      <w:tr>
        <w:trPr>
          <w:trHeight w:val="26"/>
        </w:trPr>
        <w:tc>
          <w:tcPr>
            <w:tcW w:w="3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07"/>
        </w:trPr>
        <w:tc>
          <w:tcPr>
            <w:tcW w:w="3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tcPr>
          <w:p>
            <w:pPr>
              <w:spacing w:after="0"/>
              <w:rPr>
                <w:sz w:val="9"/>
                <w:szCs w:val="9"/>
                <w:color w:val="auto"/>
              </w:rPr>
            </w:pPr>
          </w:p>
        </w:tc>
      </w:tr>
      <w:tr>
        <w:trPr>
          <w:trHeight w:val="23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ind w:right="1315"/>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105.0</w:t>
            </w:r>
          </w:p>
        </w:tc>
      </w:tr>
      <w:tr>
        <w:trPr>
          <w:trHeight w:val="228"/>
        </w:trPr>
        <w:tc>
          <w:tcPr>
            <w:tcW w:w="326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6"/>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444.3</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6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2.0</w:t>
            </w:r>
          </w:p>
        </w:tc>
      </w:tr>
      <w:tr>
        <w:trPr>
          <w:trHeight w:val="26"/>
        </w:trPr>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0"/>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551.3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15"/>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551.3</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326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286.6</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26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7"/>
                <w:szCs w:val="17"/>
                <w:color w:val="auto"/>
              </w:rPr>
              <w:t>171.0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171.3</w:t>
            </w:r>
          </w:p>
        </w:tc>
      </w:tr>
      <w:tr>
        <w:trPr>
          <w:trHeight w:val="26"/>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53.8</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6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7"/>
                <w:szCs w:val="17"/>
                <w:color w:val="auto"/>
              </w:rPr>
              <w:t>38.2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38.2</w:t>
            </w:r>
          </w:p>
        </w:tc>
      </w:tr>
      <w:tr>
        <w:trPr>
          <w:trHeight w:val="26"/>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27.2</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6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24.2</w:t>
            </w:r>
          </w:p>
        </w:tc>
      </w:tr>
      <w:tr>
        <w:trPr>
          <w:trHeight w:val="26"/>
        </w:trPr>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26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2.4</w:t>
            </w:r>
          </w:p>
        </w:tc>
      </w:tr>
      <w:tr>
        <w:trPr>
          <w:trHeight w:val="26"/>
        </w:trPr>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607.7</w:t>
            </w:r>
          </w:p>
        </w:tc>
      </w:tr>
      <w:tr>
        <w:trPr>
          <w:trHeight w:val="240"/>
        </w:trPr>
        <w:tc>
          <w:tcPr>
            <w:tcW w:w="3260" w:type="dxa"/>
            <w:vAlign w:val="bottom"/>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1,157.6</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1315"/>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(0.1)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1,159.0</w:t>
            </w:r>
          </w:p>
        </w:tc>
      </w:tr>
      <w:tr>
        <w:trPr>
          <w:trHeight w:val="20"/>
        </w:trPr>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right="140" w:firstLine="406"/>
        <w:spacing w:after="0" w:line="272" w:lineRule="auto"/>
        <w:rPr>
          <w:sz w:val="20"/>
          <w:szCs w:val="20"/>
          <w:color w:val="auto"/>
        </w:rPr>
      </w:pPr>
      <w:r>
        <w:rPr>
          <w:rFonts w:ascii="Arial" w:cs="Arial" w:eastAsia="Arial" w:hAnsi="Arial"/>
          <w:sz w:val="17"/>
          <w:szCs w:val="17"/>
          <w:color w:val="auto"/>
        </w:rPr>
        <w:t>Included in cash and cash equivalents is cash in transit from payment processors for credit and debit card transactions of $13.2 million and $11.5 million as of June 30, 2020 and December 31, 2019, respectively.</w:t>
      </w:r>
    </w:p>
    <w:p>
      <w:pPr>
        <w:spacing w:after="0" w:line="166" w:lineRule="exact"/>
        <w:rPr>
          <w:sz w:val="20"/>
          <w:szCs w:val="20"/>
          <w:color w:val="auto"/>
        </w:rPr>
      </w:pPr>
    </w:p>
    <w:p>
      <w:pPr>
        <w:ind w:right="480" w:firstLine="406"/>
        <w:spacing w:after="0" w:line="272" w:lineRule="auto"/>
        <w:rPr>
          <w:sz w:val="20"/>
          <w:szCs w:val="20"/>
          <w:color w:val="auto"/>
        </w:rPr>
      </w:pPr>
      <w:r>
        <w:rPr>
          <w:rFonts w:ascii="Arial" w:cs="Arial" w:eastAsia="Arial" w:hAnsi="Arial"/>
          <w:sz w:val="17"/>
          <w:szCs w:val="17"/>
          <w:color w:val="auto"/>
        </w:rPr>
        <w:t>All short-term investments were designated as available-for-sale securities as of June 30, 2020 and December 31, 2019. The total fair value of short-term investments was $783.5 million and $607.7 million as of June 30, 2020 and December 31,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the Company’s short-term investments as of June 30, 2020:</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6620" w:type="dxa"/>
            <w:vAlign w:val="bottom"/>
          </w:tcPr>
          <w:p>
            <w:pPr>
              <w:spacing w:after="0"/>
              <w:rPr>
                <w:sz w:val="19"/>
                <w:szCs w:val="19"/>
                <w:color w:val="auto"/>
              </w:rPr>
            </w:pPr>
          </w:p>
        </w:tc>
        <w:tc>
          <w:tcPr>
            <w:tcW w:w="4600" w:type="dxa"/>
            <w:vAlign w:val="bottom"/>
            <w:gridSpan w:val="5"/>
          </w:tcPr>
          <w:p>
            <w:pPr>
              <w:jc w:val="right"/>
              <w:ind w:right="1515"/>
              <w:spacing w:after="0"/>
              <w:rPr>
                <w:sz w:val="20"/>
                <w:szCs w:val="20"/>
                <w:color w:val="auto"/>
              </w:rPr>
            </w:pPr>
            <w:r>
              <w:rPr>
                <w:rFonts w:ascii="Arial" w:cs="Arial" w:eastAsia="Arial" w:hAnsi="Arial"/>
                <w:sz w:val="17"/>
                <w:szCs w:val="17"/>
                <w:b w:val="1"/>
                <w:bCs w:val="1"/>
                <w:color w:val="auto"/>
              </w:rPr>
              <w:t>As of June 30, 2020</w:t>
            </w:r>
          </w:p>
        </w:tc>
      </w:tr>
      <w:tr>
        <w:trPr>
          <w:trHeight w:val="26"/>
        </w:trPr>
        <w:tc>
          <w:tcPr>
            <w:tcW w:w="66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0"/>
        </w:trPr>
        <w:tc>
          <w:tcPr>
            <w:tcW w:w="66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Amortized cost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ind w:right="315"/>
              <w:spacing w:after="0"/>
              <w:rPr>
                <w:sz w:val="20"/>
                <w:szCs w:val="20"/>
                <w:color w:val="auto"/>
              </w:rPr>
            </w:pPr>
            <w:r>
              <w:rPr>
                <w:rFonts w:ascii="Arial" w:cs="Arial" w:eastAsia="Arial" w:hAnsi="Arial"/>
                <w:sz w:val="17"/>
                <w:szCs w:val="17"/>
                <w:b w:val="1"/>
                <w:bCs w:val="1"/>
                <w:color w:val="auto"/>
                <w:w w:val="98"/>
              </w:rPr>
              <w:t>Estimated fair value</w:t>
            </w:r>
          </w:p>
        </w:tc>
      </w:tr>
      <w:tr>
        <w:trPr>
          <w:trHeight w:val="26"/>
        </w:trPr>
        <w:tc>
          <w:tcPr>
            <w:tcW w:w="66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07"/>
        </w:trPr>
        <w:tc>
          <w:tcPr>
            <w:tcW w:w="66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0" w:type="dxa"/>
            <w:vAlign w:val="bottom"/>
          </w:tcPr>
          <w:p>
            <w:pPr>
              <w:spacing w:after="0"/>
              <w:rPr>
                <w:sz w:val="9"/>
                <w:szCs w:val="9"/>
                <w:color w:val="auto"/>
              </w:rPr>
            </w:pPr>
          </w:p>
        </w:tc>
      </w:tr>
      <w:tr>
        <w:trPr>
          <w:trHeight w:val="234"/>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17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8"/>
              </w:rPr>
              <w:t>434.1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435.7</w:t>
            </w:r>
          </w:p>
        </w:tc>
      </w:tr>
      <w:tr>
        <w:trPr>
          <w:trHeight w:val="228"/>
        </w:trPr>
        <w:tc>
          <w:tcPr>
            <w:tcW w:w="6620" w:type="dxa"/>
            <w:vAlign w:val="bottom"/>
          </w:tcPr>
          <w:p>
            <w:pPr>
              <w:ind w:left="20"/>
              <w:spacing w:after="0"/>
              <w:rPr>
                <w:sz w:val="20"/>
                <w:szCs w:val="20"/>
                <w:color w:val="auto"/>
              </w:rPr>
            </w:pPr>
            <w:r>
              <w:rPr>
                <w:rFonts w:ascii="Arial" w:cs="Arial" w:eastAsia="Arial" w:hAnsi="Arial"/>
                <w:sz w:val="17"/>
                <w:szCs w:val="17"/>
                <w:color w:val="auto"/>
              </w:rPr>
              <w:t>Due between one to three years</w:t>
            </w:r>
          </w:p>
        </w:tc>
        <w:tc>
          <w:tcPr>
            <w:tcW w:w="1720" w:type="dxa"/>
            <w:vAlign w:val="bottom"/>
          </w:tcPr>
          <w:p>
            <w:pPr>
              <w:spacing w:after="0"/>
              <w:rPr>
                <w:sz w:val="19"/>
                <w:szCs w:val="19"/>
                <w:color w:val="auto"/>
              </w:rPr>
            </w:pPr>
          </w:p>
        </w:tc>
        <w:tc>
          <w:tcPr>
            <w:tcW w:w="540" w:type="dxa"/>
            <w:vAlign w:val="bottom"/>
          </w:tcPr>
          <w:p>
            <w:pPr>
              <w:jc w:val="right"/>
              <w:ind w:right="15"/>
              <w:spacing w:after="0"/>
              <w:rPr>
                <w:sz w:val="20"/>
                <w:szCs w:val="20"/>
                <w:color w:val="auto"/>
              </w:rPr>
            </w:pPr>
            <w:r>
              <w:rPr>
                <w:rFonts w:ascii="Arial" w:cs="Arial" w:eastAsia="Arial" w:hAnsi="Arial"/>
                <w:sz w:val="17"/>
                <w:szCs w:val="17"/>
                <w:color w:val="auto"/>
                <w:w w:val="98"/>
              </w:rPr>
              <w:t>304.2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ind w:right="15"/>
              <w:spacing w:after="0"/>
              <w:rPr>
                <w:sz w:val="20"/>
                <w:szCs w:val="20"/>
                <w:color w:val="auto"/>
              </w:rPr>
            </w:pPr>
            <w:r>
              <w:rPr>
                <w:rFonts w:ascii="Arial" w:cs="Arial" w:eastAsia="Arial" w:hAnsi="Arial"/>
                <w:sz w:val="17"/>
                <w:szCs w:val="17"/>
                <w:color w:val="auto"/>
              </w:rPr>
              <w:t>307.9</w:t>
            </w:r>
          </w:p>
        </w:tc>
      </w:tr>
      <w:tr>
        <w:trPr>
          <w:trHeight w:val="26"/>
        </w:trPr>
        <w:tc>
          <w:tcPr>
            <w:tcW w:w="6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4"/>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 after three years</w:t>
            </w:r>
          </w:p>
        </w:tc>
        <w:tc>
          <w:tcPr>
            <w:tcW w:w="17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39.9</w:t>
            </w:r>
          </w:p>
        </w:tc>
      </w:tr>
      <w:tr>
        <w:trPr>
          <w:trHeight w:val="240"/>
        </w:trPr>
        <w:tc>
          <w:tcPr>
            <w:tcW w:w="6620" w:type="dxa"/>
            <w:vAlign w:val="bottom"/>
          </w:tcPr>
          <w:p>
            <w:pPr>
              <w:ind w:left="20"/>
              <w:spacing w:after="0"/>
              <w:rPr>
                <w:sz w:val="20"/>
                <w:szCs w:val="20"/>
                <w:color w:val="auto"/>
              </w:rPr>
            </w:pPr>
            <w:r>
              <w:rPr>
                <w:rFonts w:ascii="Arial" w:cs="Arial" w:eastAsia="Arial" w:hAnsi="Arial"/>
                <w:sz w:val="17"/>
                <w:szCs w:val="17"/>
                <w:color w:val="auto"/>
              </w:rPr>
              <w:t>Total</w:t>
            </w:r>
          </w:p>
        </w:tc>
        <w:tc>
          <w:tcPr>
            <w:tcW w:w="1720" w:type="dxa"/>
            <w:vAlign w:val="bottom"/>
            <w:tcBorders>
              <w:top w:val="single" w:sz="8" w:color="auto"/>
              <w:bottom w:val="single" w:sz="8" w:color="auto"/>
            </w:tcBorders>
          </w:tcPr>
          <w:p>
            <w:pPr>
              <w:jc w:val="right"/>
              <w:ind w:right="1535"/>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98"/>
              </w:rPr>
              <w:t>777.9</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783.5</w:t>
            </w:r>
          </w:p>
        </w:tc>
      </w:tr>
      <w:tr>
        <w:trPr>
          <w:trHeight w:val="20"/>
        </w:trPr>
        <w:tc>
          <w:tcPr>
            <w:tcW w:w="66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jc w:val="both"/>
        <w:ind w:right="100" w:firstLine="406"/>
        <w:spacing w:after="0" w:line="261" w:lineRule="auto"/>
        <w:rPr>
          <w:sz w:val="20"/>
          <w:szCs w:val="20"/>
          <w:color w:val="auto"/>
        </w:rPr>
      </w:pPr>
      <w:r>
        <w:rPr>
          <w:rFonts w:ascii="Arial" w:cs="Arial" w:eastAsia="Arial" w:hAnsi="Arial"/>
          <w:sz w:val="17"/>
          <w:szCs w:val="17"/>
          <w:color w:val="auto"/>
        </w:rPr>
        <w:t>The Company had 52 short-term investments in unrealized loss positions as of June 30, 2020. There were no material unrealized losses from available-for-sale securities and no material realized gains or losses from available-for-sale securities that were reclassified out of accumulated other comprehensive income (loss) for the three and six months ended June 30, 2020.</w:t>
      </w:r>
    </w:p>
    <w:p>
      <w:pPr>
        <w:spacing w:after="0" w:line="175" w:lineRule="exact"/>
        <w:rPr>
          <w:sz w:val="20"/>
          <w:szCs w:val="20"/>
          <w:color w:val="auto"/>
        </w:rPr>
      </w:pPr>
    </w:p>
    <w:p>
      <w:pPr>
        <w:ind w:right="180" w:firstLine="381"/>
        <w:spacing w:after="0" w:line="272" w:lineRule="auto"/>
        <w:rPr>
          <w:sz w:val="20"/>
          <w:szCs w:val="20"/>
          <w:color w:val="auto"/>
        </w:rPr>
      </w:pPr>
      <w:r>
        <w:rPr>
          <w:rFonts w:ascii="Arial" w:cs="Arial" w:eastAsia="Arial" w:hAnsi="Arial"/>
          <w:sz w:val="16"/>
          <w:szCs w:val="16"/>
          <w:color w:val="auto"/>
        </w:rPr>
        <w:t>As of June 30, 2020, the Company’s short-term investments portfolio consisted of eight security types, two of which were in an unrealized loss position. The Company’s corporate notes and obligations and asset backed securities had unrealized losses of approximately $0.2 million and $0.1 million, respectively as of June 30, 2020. Unrealized losses on corporate notes and obligations and asset backed securities have not been recorded into income because management does not intend to sell nor will be required to sell these securities prior to their anticipated recovery, and for which the decline in fair value is largely due to changes in credit spreads. The credit ratings associated with the corporate notes and obligations and asset backed securities are mostly unchanged, are highly rated and the issuers continue to make timely principal and interest 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23"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firstLine="406"/>
        <w:spacing w:after="0" w:line="305" w:lineRule="auto"/>
        <w:rPr>
          <w:sz w:val="20"/>
          <w:szCs w:val="20"/>
          <w:color w:val="auto"/>
        </w:rPr>
      </w:pPr>
      <w:r>
        <w:rPr>
          <w:rFonts w:ascii="Arial" w:cs="Arial" w:eastAsia="Arial" w:hAnsi="Arial"/>
          <w:sz w:val="16"/>
          <w:szCs w:val="16"/>
          <w:color w:val="auto"/>
        </w:rPr>
        <w:t>The Company recorded interest income from its cash, cash equivalents, and short-term investments of $2.7 million and $7.8 million during the three and six months ended June 30, 2020, respectively, and $5.6 million and $11.8 during the three and six months ended June 30, 2019,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215" w:lineRule="exact"/>
        <w:rPr>
          <w:sz w:val="20"/>
          <w:szCs w:val="20"/>
          <w:color w:val="auto"/>
        </w:rPr>
      </w:pPr>
    </w:p>
    <w:p>
      <w:pPr>
        <w:ind w:right="60" w:firstLine="406"/>
        <w:spacing w:after="0" w:line="261" w:lineRule="auto"/>
        <w:rPr>
          <w:sz w:val="20"/>
          <w:szCs w:val="20"/>
          <w:color w:val="auto"/>
        </w:rPr>
      </w:pPr>
      <w:r>
        <w:rPr>
          <w:rFonts w:ascii="Arial" w:cs="Arial" w:eastAsia="Arial" w:hAnsi="Arial"/>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75" w:lineRule="exact"/>
        <w:rPr>
          <w:sz w:val="20"/>
          <w:szCs w:val="20"/>
          <w:color w:val="auto"/>
        </w:rPr>
      </w:pPr>
    </w:p>
    <w:p>
      <w:pPr>
        <w:ind w:right="620" w:firstLine="406"/>
        <w:spacing w:after="0" w:line="272"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using the input categories discussed in Note 1:</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0" w:type="dxa"/>
            <w:vAlign w:val="bottom"/>
            <w:gridSpan w:val="3"/>
          </w:tcPr>
          <w:p>
            <w:pPr>
              <w:jc w:val="right"/>
              <w:ind w:right="715"/>
              <w:spacing w:after="0"/>
              <w:rPr>
                <w:sz w:val="20"/>
                <w:szCs w:val="20"/>
                <w:color w:val="auto"/>
              </w:rPr>
            </w:pPr>
            <w:r>
              <w:rPr>
                <w:rFonts w:ascii="Arial" w:cs="Arial" w:eastAsia="Arial" w:hAnsi="Arial"/>
                <w:sz w:val="17"/>
                <w:szCs w:val="17"/>
                <w:b w:val="1"/>
                <w:bCs w:val="1"/>
                <w:color w:val="auto"/>
                <w:w w:val="87"/>
              </w:rPr>
              <w:t>As of June 30, 2020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
        </w:trPr>
        <w:tc>
          <w:tcPr>
            <w:tcW w:w="3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0"/>
        </w:trPr>
        <w:tc>
          <w:tcPr>
            <w:tcW w:w="326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b w:val="1"/>
                <w:bCs w:val="1"/>
                <w:color w:val="auto"/>
              </w:rPr>
              <w:t>Level 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Level 2</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Arial" w:cs="Arial" w:eastAsia="Arial" w:hAnsi="Arial"/>
                <w:sz w:val="17"/>
                <w:szCs w:val="17"/>
                <w:b w:val="1"/>
                <w:bCs w:val="1"/>
                <w:color w:val="auto"/>
              </w:rPr>
              <w:t>Level 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675"/>
              <w:spacing w:after="0"/>
              <w:rPr>
                <w:sz w:val="20"/>
                <w:szCs w:val="20"/>
                <w:color w:val="auto"/>
              </w:rPr>
            </w:pPr>
            <w:r>
              <w:rPr>
                <w:rFonts w:ascii="Arial" w:cs="Arial" w:eastAsia="Arial" w:hAnsi="Arial"/>
                <w:sz w:val="17"/>
                <w:szCs w:val="17"/>
                <w:b w:val="1"/>
                <w:bCs w:val="1"/>
                <w:color w:val="auto"/>
              </w:rPr>
              <w:t>Total</w:t>
            </w:r>
          </w:p>
        </w:tc>
      </w:tr>
      <w:tr>
        <w:trPr>
          <w:trHeight w:val="26"/>
        </w:trPr>
        <w:tc>
          <w:tcPr>
            <w:tcW w:w="3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07"/>
        </w:trPr>
        <w:tc>
          <w:tcPr>
            <w:tcW w:w="3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3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320" w:type="dxa"/>
            <w:vAlign w:val="bottom"/>
          </w:tcPr>
          <w:p>
            <w:pPr>
              <w:jc w:val="right"/>
              <w:ind w:right="1135"/>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241.5</w:t>
            </w:r>
          </w:p>
        </w:tc>
        <w:tc>
          <w:tcPr>
            <w:tcW w:w="120" w:type="dxa"/>
            <w:vAlign w:val="bottom"/>
          </w:tcPr>
          <w:p>
            <w:pPr>
              <w:spacing w:after="0"/>
              <w:rPr>
                <w:sz w:val="19"/>
                <w:szCs w:val="19"/>
                <w:color w:val="auto"/>
              </w:rPr>
            </w:pPr>
          </w:p>
        </w:tc>
        <w:tc>
          <w:tcPr>
            <w:tcW w:w="1240" w:type="dxa"/>
            <w:vAlign w:val="bottom"/>
          </w:tcPr>
          <w:p>
            <w:pPr>
              <w:jc w:val="right"/>
              <w:ind w:right="1055"/>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215"/>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241.5</w:t>
            </w:r>
          </w:p>
        </w:tc>
      </w:tr>
      <w:tr>
        <w:trPr>
          <w:trHeight w:val="26"/>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3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1.2</w:t>
            </w:r>
          </w:p>
        </w:tc>
      </w:tr>
      <w:tr>
        <w:trPr>
          <w:trHeight w:val="26"/>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r>
      <w:tr>
        <w:trPr>
          <w:trHeight w:val="28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cash equivalents</w:t>
            </w:r>
          </w:p>
        </w:tc>
        <w:tc>
          <w:tcPr>
            <w:tcW w:w="1320" w:type="dxa"/>
            <w:vAlign w:val="bottom"/>
            <w:tcBorders>
              <w:top w:val="single" w:sz="8" w:color="auto"/>
              <w:bottom w:val="single" w:sz="8" w:color="auto"/>
            </w:tcBorders>
          </w:tcPr>
          <w:p>
            <w:pPr>
              <w:jc w:val="right"/>
              <w:ind w:right="1135"/>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241.5</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05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1215"/>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245.6</w:t>
            </w:r>
          </w:p>
        </w:tc>
      </w:tr>
      <w:tr>
        <w:trPr>
          <w:trHeight w:val="21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1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13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361.4</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361.4</w:t>
            </w:r>
          </w:p>
        </w:tc>
      </w:tr>
      <w:tr>
        <w:trPr>
          <w:trHeight w:val="26"/>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235.8</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235.8</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13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83.6</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83.6</w:t>
            </w:r>
          </w:p>
        </w:tc>
      </w:tr>
      <w:tr>
        <w:trPr>
          <w:trHeight w:val="26"/>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13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27.9</w:t>
            </w:r>
          </w:p>
        </w:tc>
      </w:tr>
      <w:tr>
        <w:trPr>
          <w:trHeight w:val="26"/>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26.0</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26.0</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3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6.0</w:t>
            </w:r>
          </w:p>
        </w:tc>
      </w:tr>
      <w:tr>
        <w:trPr>
          <w:trHeight w:val="26"/>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1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r>
      <w:tr>
        <w:trPr>
          <w:trHeight w:val="220"/>
        </w:trPr>
        <w:tc>
          <w:tcPr>
            <w:tcW w:w="3260" w:type="dxa"/>
            <w:vAlign w:val="bottom"/>
          </w:tcPr>
          <w:p>
            <w:pPr>
              <w:ind w:left="20"/>
              <w:spacing w:after="0"/>
              <w:rPr>
                <w:sz w:val="20"/>
                <w:szCs w:val="20"/>
                <w:color w:val="auto"/>
              </w:rPr>
            </w:pPr>
            <w:r>
              <w:rPr>
                <w:rFonts w:ascii="Arial" w:cs="Arial" w:eastAsia="Arial" w:hAnsi="Arial"/>
                <w:sz w:val="17"/>
                <w:szCs w:val="17"/>
                <w:color w:val="auto"/>
              </w:rPr>
              <w:t>Total short-term investments</w:t>
            </w:r>
          </w:p>
        </w:tc>
        <w:tc>
          <w:tcPr>
            <w:tcW w:w="1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783.5</w:t>
            </w: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783.5</w:t>
            </w:r>
          </w:p>
        </w:tc>
      </w:tr>
      <w:tr>
        <w:trPr>
          <w:trHeight w:val="26"/>
        </w:trPr>
        <w:tc>
          <w:tcPr>
            <w:tcW w:w="32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0"/>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320" w:type="dxa"/>
            <w:vAlign w:val="bottom"/>
            <w:shd w:val="clear" w:color="auto" w:fill="CCEEFF"/>
          </w:tcPr>
          <w:p>
            <w:pPr>
              <w:jc w:val="right"/>
              <w:ind w:right="1135"/>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241.5</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5"/>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787.6</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215"/>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1,029.1</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80" w:firstLine="406"/>
        <w:spacing w:after="0" w:line="272" w:lineRule="auto"/>
        <w:rPr>
          <w:sz w:val="20"/>
          <w:szCs w:val="20"/>
          <w:color w:val="auto"/>
        </w:rPr>
      </w:pPr>
      <w:r>
        <w:rPr>
          <w:rFonts w:ascii="Arial" w:cs="Arial" w:eastAsia="Arial" w:hAnsi="Arial"/>
          <w:sz w:val="17"/>
          <w:szCs w:val="17"/>
          <w:color w:val="auto"/>
        </w:rPr>
        <w:t>The Company has an investment in a non-marketable equity security in a privately held company without a readily determinable market value. The investment has a carrying value of $5.6 million and is categorized as Level 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23"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gridSpan w:val="4"/>
          </w:tcPr>
          <w:p>
            <w:pPr>
              <w:jc w:val="right"/>
              <w:ind w:right="515"/>
              <w:spacing w:after="0"/>
              <w:rPr>
                <w:sz w:val="20"/>
                <w:szCs w:val="20"/>
                <w:color w:val="auto"/>
              </w:rPr>
            </w:pPr>
            <w:r>
              <w:rPr>
                <w:rFonts w:ascii="Arial" w:cs="Arial" w:eastAsia="Arial" w:hAnsi="Arial"/>
                <w:sz w:val="17"/>
                <w:szCs w:val="17"/>
                <w:b w:val="1"/>
                <w:bCs w:val="1"/>
                <w:color w:val="auto"/>
              </w:rPr>
              <w:t>As of December 31, 2019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
        </w:trPr>
        <w:tc>
          <w:tcPr>
            <w:tcW w:w="3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0"/>
        </w:trPr>
        <w:tc>
          <w:tcPr>
            <w:tcW w:w="326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b w:val="1"/>
                <w:bCs w:val="1"/>
                <w:color w:val="auto"/>
              </w:rPr>
              <w:t>Level 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b w:val="1"/>
                <w:bCs w:val="1"/>
                <w:color w:val="auto"/>
              </w:rPr>
              <w:t>Level 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Arial" w:cs="Arial" w:eastAsia="Arial" w:hAnsi="Arial"/>
                <w:sz w:val="17"/>
                <w:szCs w:val="17"/>
                <w:b w:val="1"/>
                <w:bCs w:val="1"/>
                <w:color w:val="auto"/>
              </w:rPr>
              <w:t>Level 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675"/>
              <w:spacing w:after="0"/>
              <w:rPr>
                <w:sz w:val="20"/>
                <w:szCs w:val="20"/>
                <w:color w:val="auto"/>
              </w:rPr>
            </w:pPr>
            <w:r>
              <w:rPr>
                <w:rFonts w:ascii="Arial" w:cs="Arial" w:eastAsia="Arial" w:hAnsi="Arial"/>
                <w:sz w:val="17"/>
                <w:szCs w:val="17"/>
                <w:b w:val="1"/>
                <w:bCs w:val="1"/>
                <w:color w:val="auto"/>
              </w:rPr>
              <w:t>Total</w:t>
            </w:r>
          </w:p>
        </w:tc>
      </w:tr>
      <w:tr>
        <w:trPr>
          <w:trHeight w:val="26"/>
        </w:trPr>
        <w:tc>
          <w:tcPr>
            <w:tcW w:w="3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58"/>
        </w:trPr>
        <w:tc>
          <w:tcPr>
            <w:tcW w:w="3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3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Cash equivalents</w:t>
            </w:r>
          </w:p>
        </w:tc>
        <w:tc>
          <w:tcPr>
            <w:tcW w:w="1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320" w:type="dxa"/>
            <w:vAlign w:val="bottom"/>
          </w:tcPr>
          <w:p>
            <w:pPr>
              <w:jc w:val="right"/>
              <w:ind w:right="1135"/>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444.3</w:t>
            </w:r>
          </w:p>
        </w:tc>
        <w:tc>
          <w:tcPr>
            <w:tcW w:w="120" w:type="dxa"/>
            <w:vAlign w:val="bottom"/>
          </w:tcPr>
          <w:p>
            <w:pPr>
              <w:spacing w:after="0"/>
              <w:rPr>
                <w:sz w:val="19"/>
                <w:szCs w:val="19"/>
                <w:color w:val="auto"/>
              </w:rPr>
            </w:pPr>
          </w:p>
        </w:tc>
        <w:tc>
          <w:tcPr>
            <w:tcW w:w="1320" w:type="dxa"/>
            <w:vAlign w:val="bottom"/>
          </w:tcPr>
          <w:p>
            <w:pPr>
              <w:jc w:val="right"/>
              <w:ind w:right="1135"/>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215"/>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444.3</w:t>
            </w:r>
          </w:p>
        </w:tc>
      </w:tr>
      <w:tr>
        <w:trPr>
          <w:trHeight w:val="26"/>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r>
      <w:tr>
        <w:trPr>
          <w:trHeight w:val="28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Cash Equivalents</w:t>
            </w:r>
          </w:p>
        </w:tc>
        <w:tc>
          <w:tcPr>
            <w:tcW w:w="1320" w:type="dxa"/>
            <w:vAlign w:val="bottom"/>
            <w:tcBorders>
              <w:top w:val="single" w:sz="8" w:color="auto"/>
              <w:bottom w:val="single" w:sz="8" w:color="auto"/>
            </w:tcBorders>
          </w:tcPr>
          <w:p>
            <w:pPr>
              <w:jc w:val="right"/>
              <w:ind w:right="1135"/>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444.3</w:t>
            </w:r>
          </w:p>
        </w:tc>
        <w:tc>
          <w:tcPr>
            <w:tcW w:w="12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35"/>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1215"/>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446.3</w:t>
            </w:r>
          </w:p>
        </w:tc>
      </w:tr>
      <w:tr>
        <w:trPr>
          <w:trHeight w:val="21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1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13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286.6</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286.6</w:t>
            </w:r>
          </w:p>
        </w:tc>
      </w:tr>
      <w:tr>
        <w:trPr>
          <w:trHeight w:val="26"/>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171.3</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171.3</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Asset-backed securities</w:t>
            </w:r>
          </w:p>
        </w:tc>
        <w:tc>
          <w:tcPr>
            <w:tcW w:w="13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53.8</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53.8</w:t>
            </w:r>
          </w:p>
        </w:tc>
      </w:tr>
      <w:tr>
        <w:trPr>
          <w:trHeight w:val="26"/>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38.2</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13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27.2</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27.2</w:t>
            </w:r>
          </w:p>
        </w:tc>
      </w:tr>
      <w:tr>
        <w:trPr>
          <w:trHeight w:val="26"/>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w:t>
            </w:r>
          </w:p>
        </w:tc>
      </w:tr>
      <w:tr>
        <w:trPr>
          <w:trHeight w:val="228"/>
        </w:trPr>
        <w:tc>
          <w:tcPr>
            <w:tcW w:w="3260" w:type="dxa"/>
            <w:vAlign w:val="bottom"/>
          </w:tcPr>
          <w:p>
            <w:pPr>
              <w:ind w:left="140"/>
              <w:spacing w:after="0"/>
              <w:rPr>
                <w:sz w:val="20"/>
                <w:szCs w:val="20"/>
                <w:color w:val="auto"/>
              </w:rPr>
            </w:pPr>
            <w:r>
              <w:rPr>
                <w:rFonts w:ascii="Arial" w:cs="Arial" w:eastAsia="Arial" w:hAnsi="Arial"/>
                <w:sz w:val="17"/>
                <w:szCs w:val="17"/>
                <w:color w:val="auto"/>
              </w:rPr>
              <w:t>Supranational securities</w:t>
            </w:r>
          </w:p>
        </w:tc>
        <w:tc>
          <w:tcPr>
            <w:tcW w:w="13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4.0</w:t>
            </w:r>
          </w:p>
        </w:tc>
      </w:tr>
      <w:tr>
        <w:trPr>
          <w:trHeight w:val="26"/>
        </w:trPr>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4"/>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shd w:val="clear" w:color="auto" w:fill="CCEEFF"/>
              </w:rPr>
              <w:t>Municipal securities</w:t>
            </w:r>
          </w:p>
        </w:tc>
        <w:tc>
          <w:tcPr>
            <w:tcW w:w="1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w:t>
            </w:r>
          </w:p>
        </w:tc>
      </w:tr>
      <w:tr>
        <w:trPr>
          <w:trHeight w:val="220"/>
        </w:trPr>
        <w:tc>
          <w:tcPr>
            <w:tcW w:w="3260" w:type="dxa"/>
            <w:vAlign w:val="bottom"/>
          </w:tcPr>
          <w:p>
            <w:pPr>
              <w:ind w:left="20"/>
              <w:spacing w:after="0"/>
              <w:rPr>
                <w:sz w:val="20"/>
                <w:szCs w:val="20"/>
                <w:color w:val="auto"/>
              </w:rPr>
            </w:pPr>
            <w:r>
              <w:rPr>
                <w:rFonts w:ascii="Arial" w:cs="Arial" w:eastAsia="Arial" w:hAnsi="Arial"/>
                <w:sz w:val="17"/>
                <w:szCs w:val="17"/>
                <w:color w:val="auto"/>
              </w:rPr>
              <w:t>Total short-term investments</w:t>
            </w:r>
          </w:p>
        </w:tc>
        <w:tc>
          <w:tcPr>
            <w:tcW w:w="1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607.7</w:t>
            </w: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607.7</w:t>
            </w:r>
          </w:p>
        </w:tc>
      </w:tr>
      <w:tr>
        <w:trPr>
          <w:trHeight w:val="26"/>
        </w:trPr>
        <w:tc>
          <w:tcPr>
            <w:tcW w:w="32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Equity investments</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w:t>
            </w:r>
          </w:p>
        </w:tc>
      </w:tr>
      <w:tr>
        <w:trPr>
          <w:trHeight w:val="240"/>
        </w:trPr>
        <w:tc>
          <w:tcPr>
            <w:tcW w:w="3260" w:type="dxa"/>
            <w:vAlign w:val="bottom"/>
          </w:tcPr>
          <w:p>
            <w:pPr>
              <w:ind w:left="20"/>
              <w:spacing w:after="0"/>
              <w:rPr>
                <w:sz w:val="20"/>
                <w:szCs w:val="20"/>
                <w:color w:val="auto"/>
              </w:rPr>
            </w:pPr>
            <w:r>
              <w:rPr>
                <w:rFonts w:ascii="Arial" w:cs="Arial" w:eastAsia="Arial" w:hAnsi="Arial"/>
                <w:sz w:val="17"/>
                <w:szCs w:val="17"/>
                <w:color w:val="auto"/>
              </w:rPr>
              <w:t>Total</w:t>
            </w:r>
          </w:p>
        </w:tc>
        <w:tc>
          <w:tcPr>
            <w:tcW w:w="1320" w:type="dxa"/>
            <w:vAlign w:val="bottom"/>
            <w:tcBorders>
              <w:top w:val="single" w:sz="8" w:color="auto"/>
              <w:bottom w:val="single" w:sz="8" w:color="auto"/>
            </w:tcBorders>
          </w:tcPr>
          <w:p>
            <w:pPr>
              <w:jc w:val="right"/>
              <w:ind w:right="1135"/>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454.1</w:t>
            </w:r>
          </w:p>
        </w:tc>
        <w:tc>
          <w:tcPr>
            <w:tcW w:w="1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ind w:right="1135"/>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609.7</w:t>
            </w:r>
          </w:p>
        </w:tc>
        <w:tc>
          <w:tcPr>
            <w:tcW w:w="12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ind w:right="1215"/>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1,063.8</w:t>
            </w:r>
          </w:p>
        </w:tc>
      </w:tr>
      <w:tr>
        <w:trPr>
          <w:trHeight w:val="20"/>
        </w:trPr>
        <w:tc>
          <w:tcPr>
            <w:tcW w:w="3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had no transfers between levels of the fair value hierarchy.</w:t>
      </w:r>
    </w:p>
    <w:p>
      <w:pPr>
        <w:spacing w:after="0" w:line="211" w:lineRule="exact"/>
        <w:rPr>
          <w:sz w:val="20"/>
          <w:szCs w:val="20"/>
          <w:color w:val="auto"/>
        </w:rPr>
      </w:pPr>
    </w:p>
    <w:p>
      <w:pPr>
        <w:ind w:right="240" w:firstLine="406"/>
        <w:spacing w:after="0" w:line="272" w:lineRule="auto"/>
        <w:rPr>
          <w:sz w:val="20"/>
          <w:szCs w:val="20"/>
          <w:color w:val="auto"/>
        </w:rPr>
      </w:pPr>
      <w:r>
        <w:rPr>
          <w:rFonts w:ascii="Arial" w:cs="Arial" w:eastAsia="Arial" w:hAnsi="Arial"/>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Property and Equipment, Net</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840" w:type="dxa"/>
            <w:vAlign w:val="bottom"/>
          </w:tcPr>
          <w:p>
            <w:pPr>
              <w:ind w:left="380"/>
              <w:spacing w:after="0"/>
              <w:rPr>
                <w:sz w:val="20"/>
                <w:szCs w:val="20"/>
                <w:color w:val="auto"/>
              </w:rPr>
            </w:pPr>
            <w:r>
              <w:rPr>
                <w:rFonts w:ascii="Arial" w:cs="Arial" w:eastAsia="Arial" w:hAnsi="Arial"/>
                <w:sz w:val="17"/>
                <w:szCs w:val="17"/>
                <w:color w:val="auto"/>
              </w:rPr>
              <w:t>Property and equipment, net consisted of the following:</w:t>
            </w: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558"/>
        </w:trPr>
        <w:tc>
          <w:tcPr>
            <w:tcW w:w="6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rPr>
              <w:t>As of</w:t>
            </w:r>
          </w:p>
        </w:tc>
        <w:tc>
          <w:tcPr>
            <w:tcW w:w="1880" w:type="dxa"/>
            <w:vAlign w:val="bottom"/>
          </w:tcPr>
          <w:p>
            <w:pPr>
              <w:spacing w:after="0"/>
              <w:rPr>
                <w:sz w:val="24"/>
                <w:szCs w:val="24"/>
                <w:color w:val="auto"/>
              </w:rPr>
            </w:pPr>
          </w:p>
        </w:tc>
      </w:tr>
      <w:tr>
        <w:trPr>
          <w:trHeight w:val="26"/>
        </w:trPr>
        <w:tc>
          <w:tcPr>
            <w:tcW w:w="6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0"/>
        </w:trPr>
        <w:tc>
          <w:tcPr>
            <w:tcW w:w="6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ind w:left="220"/>
              <w:spacing w:after="0"/>
              <w:rPr>
                <w:sz w:val="20"/>
                <w:szCs w:val="20"/>
                <w:color w:val="auto"/>
              </w:rPr>
            </w:pPr>
            <w:r>
              <w:rPr>
                <w:rFonts w:ascii="Arial" w:cs="Arial" w:eastAsia="Arial" w:hAnsi="Arial"/>
                <w:sz w:val="17"/>
                <w:szCs w:val="17"/>
                <w:b w:val="1"/>
                <w:bCs w:val="1"/>
                <w:color w:val="auto"/>
              </w:rPr>
              <w:t>June 30, 2020</w:t>
            </w:r>
          </w:p>
        </w:tc>
        <w:tc>
          <w:tcPr>
            <w:tcW w:w="240" w:type="dxa"/>
            <w:vAlign w:val="bottom"/>
          </w:tcPr>
          <w:p>
            <w:pPr>
              <w:spacing w:after="0"/>
              <w:rPr>
                <w:sz w:val="19"/>
                <w:szCs w:val="19"/>
                <w:color w:val="auto"/>
              </w:rPr>
            </w:pPr>
          </w:p>
        </w:tc>
        <w:tc>
          <w:tcPr>
            <w:tcW w:w="1880" w:type="dxa"/>
            <w:vAlign w:val="bottom"/>
          </w:tcPr>
          <w:p>
            <w:pPr>
              <w:jc w:val="right"/>
              <w:ind w:right="295"/>
              <w:spacing w:after="0"/>
              <w:rPr>
                <w:sz w:val="20"/>
                <w:szCs w:val="20"/>
                <w:color w:val="auto"/>
              </w:rPr>
            </w:pPr>
            <w:r>
              <w:rPr>
                <w:rFonts w:ascii="Arial" w:cs="Arial" w:eastAsia="Arial" w:hAnsi="Arial"/>
                <w:sz w:val="17"/>
                <w:szCs w:val="17"/>
                <w:b w:val="1"/>
                <w:bCs w:val="1"/>
                <w:color w:val="auto"/>
                <w:w w:val="96"/>
              </w:rPr>
              <w:t>December 31, 2019</w:t>
            </w:r>
          </w:p>
        </w:tc>
      </w:tr>
      <w:tr>
        <w:trPr>
          <w:trHeight w:val="26"/>
        </w:trPr>
        <w:tc>
          <w:tcPr>
            <w:tcW w:w="6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07"/>
        </w:trPr>
        <w:tc>
          <w:tcPr>
            <w:tcW w:w="6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tcPr>
          <w:p>
            <w:pPr>
              <w:spacing w:after="0"/>
              <w:rPr>
                <w:sz w:val="9"/>
                <w:szCs w:val="9"/>
                <w:color w:val="auto"/>
              </w:rPr>
            </w:pPr>
          </w:p>
        </w:tc>
      </w:tr>
      <w:tr>
        <w:trPr>
          <w:trHeight w:val="23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749.3</w:t>
            </w:r>
          </w:p>
        </w:tc>
      </w:tr>
      <w:tr>
        <w:trPr>
          <w:trHeight w:val="228"/>
        </w:trPr>
        <w:tc>
          <w:tcPr>
            <w:tcW w:w="684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360" w:type="dxa"/>
            <w:vAlign w:val="bottom"/>
          </w:tcPr>
          <w:p>
            <w:pPr>
              <w:spacing w:after="0"/>
              <w:rPr>
                <w:sz w:val="19"/>
                <w:szCs w:val="19"/>
                <w:color w:val="auto"/>
              </w:rPr>
            </w:pP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ind w:right="15"/>
              <w:spacing w:after="0"/>
              <w:rPr>
                <w:sz w:val="20"/>
                <w:szCs w:val="20"/>
                <w:color w:val="auto"/>
              </w:rPr>
            </w:pPr>
            <w:r>
              <w:rPr>
                <w:rFonts w:ascii="Arial" w:cs="Arial" w:eastAsia="Arial" w:hAnsi="Arial"/>
                <w:sz w:val="17"/>
                <w:szCs w:val="17"/>
                <w:color w:val="auto"/>
              </w:rPr>
              <w:t>35.5</w:t>
            </w:r>
          </w:p>
        </w:tc>
      </w:tr>
      <w:tr>
        <w:trPr>
          <w:trHeight w:val="26"/>
        </w:trPr>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211.4</w:t>
            </w:r>
          </w:p>
        </w:tc>
      </w:tr>
      <w:tr>
        <w:trPr>
          <w:trHeight w:val="228"/>
        </w:trPr>
        <w:tc>
          <w:tcPr>
            <w:tcW w:w="684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360" w:type="dxa"/>
            <w:vAlign w:val="bottom"/>
          </w:tcPr>
          <w:p>
            <w:pPr>
              <w:spacing w:after="0"/>
              <w:rPr>
                <w:sz w:val="19"/>
                <w:szCs w:val="19"/>
                <w:color w:val="auto"/>
              </w:rPr>
            </w:pP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ind w:right="15"/>
              <w:spacing w:after="0"/>
              <w:rPr>
                <w:sz w:val="20"/>
                <w:szCs w:val="20"/>
                <w:color w:val="auto"/>
              </w:rPr>
            </w:pPr>
            <w:r>
              <w:rPr>
                <w:rFonts w:ascii="Arial" w:cs="Arial" w:eastAsia="Arial" w:hAnsi="Arial"/>
                <w:sz w:val="17"/>
                <w:szCs w:val="17"/>
                <w:color w:val="auto"/>
              </w:rPr>
              <w:t>36.3</w:t>
            </w:r>
          </w:p>
        </w:tc>
      </w:tr>
      <w:tr>
        <w:trPr>
          <w:trHeight w:val="26"/>
        </w:trPr>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7"/>
        </w:trPr>
        <w:tc>
          <w:tcPr>
            <w:tcW w:w="6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property and equipment</w:t>
            </w:r>
          </w:p>
        </w:tc>
        <w:tc>
          <w:tcPr>
            <w:tcW w:w="36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1,131.8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1,032.5</w:t>
            </w:r>
          </w:p>
        </w:tc>
      </w:tr>
      <w:tr>
        <w:trPr>
          <w:trHeight w:val="228"/>
        </w:trPr>
        <w:tc>
          <w:tcPr>
            <w:tcW w:w="6840" w:type="dxa"/>
            <w:vAlign w:val="bottom"/>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(656.2)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(587.2)</w:t>
            </w:r>
          </w:p>
        </w:tc>
      </w:tr>
      <w:tr>
        <w:trPr>
          <w:trHeight w:val="26"/>
        </w:trPr>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2"/>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445.3</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460" w:firstLine="406"/>
        <w:spacing w:after="0" w:line="302" w:lineRule="auto"/>
        <w:rPr>
          <w:sz w:val="20"/>
          <w:szCs w:val="20"/>
          <w:color w:val="auto"/>
        </w:rPr>
      </w:pPr>
      <w:r>
        <w:rPr>
          <w:rFonts w:ascii="Arial" w:cs="Arial" w:eastAsia="Arial" w:hAnsi="Arial"/>
          <w:sz w:val="15"/>
          <w:szCs w:val="15"/>
          <w:color w:val="auto"/>
        </w:rPr>
        <w:t>The Company leases certain infrastructure from various third parties, through equipment finance leases. Infrastructure assets as of June 30, 2020 and December 31, 2019, respectively included a total of $333.7 million and $321.8 million acquired under finance lease agreements. These leases are capitalized in property and equipment, and the related amortization of assets under finance leases is included in depreciation and amortization expense. The accumulated depreciation of the infrastructure under finance leases totaled $120.8 million and $124.6 million as of June 30, 2020 and December 31, 2019, respectively.</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Construction in progress includes costs primarily related to construction of leasehold improvements for office buildings and datacenters.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23"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406"/>
        <w:spacing w:after="0" w:line="272" w:lineRule="auto"/>
        <w:rPr>
          <w:sz w:val="20"/>
          <w:szCs w:val="20"/>
          <w:color w:val="auto"/>
        </w:rPr>
      </w:pPr>
      <w:r>
        <w:rPr>
          <w:rFonts w:ascii="Arial" w:cs="Arial" w:eastAsia="Arial" w:hAnsi="Arial"/>
          <w:sz w:val="17"/>
          <w:szCs w:val="17"/>
          <w:color w:val="auto"/>
        </w:rPr>
        <w:t>Depreciation expense related to property and equipment was $36.5 million and $72.5 million for the three and six months ended June 30, 2020, respectively, and $42.3 and $85.4 million for the three and six months ended June 30, 2019, respectively.</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w:t>
      </w:r>
    </w:p>
    <w:p>
      <w:pPr>
        <w:spacing w:after="0" w:line="215" w:lineRule="exact"/>
        <w:rPr>
          <w:sz w:val="20"/>
          <w:szCs w:val="20"/>
          <w:color w:val="auto"/>
        </w:rPr>
      </w:pPr>
    </w:p>
    <w:p>
      <w:pPr>
        <w:ind w:right="420" w:firstLine="406"/>
        <w:spacing w:after="0" w:line="311" w:lineRule="auto"/>
        <w:rPr>
          <w:sz w:val="20"/>
          <w:szCs w:val="20"/>
          <w:color w:val="auto"/>
        </w:rPr>
      </w:pPr>
      <w:r>
        <w:rPr>
          <w:rFonts w:ascii="Arial" w:cs="Arial" w:eastAsia="Arial" w:hAnsi="Arial"/>
          <w:sz w:val="15"/>
          <w:szCs w:val="15"/>
          <w:color w:val="auto"/>
        </w:rPr>
        <w:t>On February 8, 2019, the Company acquired all outstanding stock of JN Projects, Inc. (d/b/a HelloSign) ("HelloSign"), which provides an e-signature and document workflow platform. The acquisition of HelloSign expands the Company's content collaboration capabilities to include additional business-critical workflows. The results of HelloSign operations have been included in the Company’s consolidated results of operations since the date of acquisition.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ind w:left="400"/>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355"/>
        </w:trPr>
        <w:tc>
          <w:tcPr>
            <w:tcW w:w="8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Pr>
          <w:p>
            <w:pPr>
              <w:jc w:val="right"/>
              <w:ind w:right="575"/>
              <w:spacing w:after="0"/>
              <w:rPr>
                <w:sz w:val="20"/>
                <w:szCs w:val="20"/>
                <w:color w:val="auto"/>
              </w:rPr>
            </w:pPr>
            <w:r>
              <w:rPr>
                <w:rFonts w:ascii="Arial" w:cs="Arial" w:eastAsia="Arial" w:hAnsi="Arial"/>
                <w:sz w:val="17"/>
                <w:szCs w:val="17"/>
                <w:b w:val="1"/>
                <w:bCs w:val="1"/>
                <w:color w:val="auto"/>
              </w:rPr>
              <w:t>Purchase consideration</w:t>
            </w:r>
          </w:p>
        </w:tc>
      </w:tr>
      <w:tr>
        <w:trPr>
          <w:trHeight w:val="26"/>
        </w:trPr>
        <w:tc>
          <w:tcPr>
            <w:tcW w:w="8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2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2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175.2</w:t>
            </w:r>
          </w:p>
        </w:tc>
      </w:tr>
      <w:tr>
        <w:trPr>
          <w:trHeight w:val="228"/>
        </w:trPr>
        <w:tc>
          <w:tcPr>
            <w:tcW w:w="822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HelloSign</w:t>
            </w:r>
          </w:p>
        </w:tc>
        <w:tc>
          <w:tcPr>
            <w:tcW w:w="380" w:type="dxa"/>
            <w:vAlign w:val="bottom"/>
          </w:tcPr>
          <w:p>
            <w:pPr>
              <w:spacing w:after="0"/>
              <w:rPr>
                <w:sz w:val="19"/>
                <w:szCs w:val="19"/>
                <w:color w:val="auto"/>
              </w:rPr>
            </w:pPr>
          </w:p>
        </w:tc>
        <w:tc>
          <w:tcPr>
            <w:tcW w:w="2640" w:type="dxa"/>
            <w:vAlign w:val="bottom"/>
          </w:tcPr>
          <w:p>
            <w:pPr>
              <w:jc w:val="right"/>
              <w:ind w:right="15"/>
              <w:spacing w:after="0"/>
              <w:rPr>
                <w:sz w:val="20"/>
                <w:szCs w:val="20"/>
                <w:color w:val="auto"/>
              </w:rPr>
            </w:pPr>
            <w:r>
              <w:rPr>
                <w:rFonts w:ascii="Arial" w:cs="Arial" w:eastAsia="Arial" w:hAnsi="Arial"/>
                <w:sz w:val="17"/>
                <w:szCs w:val="17"/>
                <w:color w:val="auto"/>
              </w:rPr>
              <w:t>2.4</w:t>
            </w:r>
          </w:p>
        </w:tc>
      </w:tr>
      <w:tr>
        <w:trPr>
          <w:trHeight w:val="26"/>
        </w:trPr>
        <w:tc>
          <w:tcPr>
            <w:tcW w:w="8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4"/>
        </w:trPr>
        <w:tc>
          <w:tcPr>
            <w:tcW w:w="8220" w:type="dxa"/>
            <w:vAlign w:val="bottom"/>
            <w:shd w:val="clear" w:color="auto" w:fill="CCEEFF"/>
          </w:tcPr>
          <w:p>
            <w:pPr>
              <w:ind w:left="20"/>
              <w:spacing w:after="0" w:line="254" w:lineRule="exact"/>
              <w:rPr>
                <w:sz w:val="20"/>
                <w:szCs w:val="20"/>
                <w:color w:val="auto"/>
              </w:rPr>
            </w:pPr>
            <w:r>
              <w:rPr>
                <w:rFonts w:ascii="Arial" w:cs="Arial" w:eastAsia="Arial" w:hAnsi="Arial"/>
                <w:sz w:val="17"/>
                <w:szCs w:val="17"/>
                <w:color w:val="auto"/>
              </w:rPr>
              <w:t>Fair value of assumed HelloSign options attributable to pre-combination services</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2"/>
                <w:szCs w:val="22"/>
                <w:color w:val="auto"/>
              </w:rPr>
            </w:pPr>
          </w:p>
        </w:tc>
        <w:tc>
          <w:tcPr>
            <w:tcW w:w="2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0.8</w:t>
            </w:r>
          </w:p>
        </w:tc>
      </w:tr>
      <w:tr>
        <w:trPr>
          <w:trHeight w:val="228"/>
        </w:trPr>
        <w:tc>
          <w:tcPr>
            <w:tcW w:w="8220" w:type="dxa"/>
            <w:vAlign w:val="bottom"/>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6"/>
        </w:trPr>
        <w:tc>
          <w:tcPr>
            <w:tcW w:w="8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20"/>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2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177.9</w:t>
            </w:r>
          </w:p>
        </w:tc>
      </w:tr>
      <w:tr>
        <w:trPr>
          <w:trHeight w:val="26"/>
        </w:trPr>
        <w:tc>
          <w:tcPr>
            <w:tcW w:w="8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185" w:lineRule="exact"/>
        <w:rPr>
          <w:sz w:val="20"/>
          <w:szCs w:val="20"/>
          <w:color w:val="auto"/>
        </w:rPr>
      </w:pPr>
    </w:p>
    <w:p>
      <w:pPr>
        <w:ind w:left="120" w:hanging="118"/>
        <w:spacing w:after="0"/>
        <w:tabs>
          <w:tab w:leader="none" w:pos="120" w:val="left"/>
        </w:tabs>
        <w:numPr>
          <w:ilvl w:val="0"/>
          <w:numId w:val="8"/>
        </w:numPr>
        <w:rPr>
          <w:rFonts w:ascii="Arial" w:cs="Arial" w:eastAsia="Arial" w:hAnsi="Arial"/>
          <w:sz w:val="8"/>
          <w:szCs w:val="8"/>
          <w:color w:val="auto"/>
        </w:rPr>
      </w:pPr>
      <w:r>
        <w:rPr>
          <w:rFonts w:ascii="Arial" w:cs="Arial" w:eastAsia="Arial" w:hAnsi="Arial"/>
          <w:sz w:val="14"/>
          <w:szCs w:val="14"/>
          <w:color w:val="auto"/>
        </w:rPr>
        <w:t>The fair value of options assumed were based upon the Black-Scholes option-pricing model.</w:t>
      </w:r>
    </w:p>
    <w:p>
      <w:pPr>
        <w:spacing w:after="0" w:line="200" w:lineRule="exact"/>
        <w:rPr>
          <w:sz w:val="20"/>
          <w:szCs w:val="20"/>
          <w:color w:val="auto"/>
        </w:rPr>
      </w:pPr>
    </w:p>
    <w:p>
      <w:pPr>
        <w:ind w:right="200" w:firstLine="406"/>
        <w:spacing w:after="0" w:line="302" w:lineRule="auto"/>
        <w:rPr>
          <w:sz w:val="20"/>
          <w:szCs w:val="20"/>
          <w:color w:val="auto"/>
        </w:rPr>
      </w:pPr>
      <w:r>
        <w:rPr>
          <w:rFonts w:ascii="Arial" w:cs="Arial" w:eastAsia="Arial" w:hAnsi="Arial"/>
          <w:sz w:val="15"/>
          <w:szCs w:val="15"/>
          <w:color w:val="auto"/>
        </w:rPr>
        <w:t>In addition to the total purchase consideration above, the Company has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with $4.0 million and $20.2 million paid during the three and six months ended June 30, 2020. The remaining balance of $28.3 million will be paid evenly in quarterly installments over the remaining required service period.</w:t>
      </w:r>
    </w:p>
    <w:p>
      <w:pPr>
        <w:spacing w:after="0" w:line="147" w:lineRule="exact"/>
        <w:rPr>
          <w:sz w:val="20"/>
          <w:szCs w:val="20"/>
          <w:color w:val="auto"/>
        </w:rPr>
      </w:pPr>
    </w:p>
    <w:p>
      <w:pPr>
        <w:ind w:right="320" w:firstLine="406"/>
        <w:spacing w:after="0" w:line="272"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140575" cy="161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61290"/>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Assets acquired: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1320" w:type="dxa"/>
            <w:vAlign w:val="bottom"/>
          </w:tcPr>
          <w:p>
            <w:pPr>
              <w:jc w:val="right"/>
              <w:ind w:right="1135"/>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5.5</w:t>
            </w:r>
          </w:p>
        </w:tc>
      </w:tr>
      <w:tr>
        <w:trPr>
          <w:trHeight w:val="26"/>
        </w:trPr>
        <w:tc>
          <w:tcPr>
            <w:tcW w:w="8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Short-term investments</w:t>
            </w:r>
          </w:p>
        </w:tc>
        <w:tc>
          <w:tcPr>
            <w:tcW w:w="13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r>
      <w:tr>
        <w:trPr>
          <w:trHeight w:val="228"/>
        </w:trPr>
        <w:tc>
          <w:tcPr>
            <w:tcW w:w="8220" w:type="dxa"/>
            <w:vAlign w:val="bottom"/>
          </w:tcPr>
          <w:p>
            <w:pPr>
              <w:ind w:left="260"/>
              <w:spacing w:after="0"/>
              <w:rPr>
                <w:sz w:val="20"/>
                <w:szCs w:val="20"/>
                <w:color w:val="auto"/>
              </w:rPr>
            </w:pPr>
            <w:r>
              <w:rPr>
                <w:rFonts w:ascii="Arial" w:cs="Arial" w:eastAsia="Arial" w:hAnsi="Arial"/>
                <w:sz w:val="17"/>
                <w:szCs w:val="17"/>
                <w:color w:val="auto"/>
              </w:rPr>
              <w:t>Acquisition-related intangible assets</w:t>
            </w:r>
          </w:p>
        </w:tc>
        <w:tc>
          <w:tcPr>
            <w:tcW w:w="1320" w:type="dxa"/>
            <w:vAlign w:val="bottom"/>
          </w:tcPr>
          <w:p>
            <w:pPr>
              <w:spacing w:after="0"/>
              <w:rPr>
                <w:sz w:val="19"/>
                <w:szCs w:val="19"/>
                <w:color w:val="auto"/>
              </w:rPr>
            </w:pP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44.6</w:t>
            </w:r>
          </w:p>
        </w:tc>
      </w:tr>
      <w:tr>
        <w:trPr>
          <w:trHeight w:val="26"/>
        </w:trPr>
        <w:tc>
          <w:tcPr>
            <w:tcW w:w="8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4"/>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receivable, prepaid and other assets</w:t>
            </w:r>
          </w:p>
        </w:tc>
        <w:tc>
          <w:tcPr>
            <w:tcW w:w="1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w:t>
            </w:r>
          </w:p>
        </w:tc>
      </w:tr>
      <w:tr>
        <w:trPr>
          <w:trHeight w:val="28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 acquired</w:t>
            </w:r>
          </w:p>
        </w:tc>
        <w:tc>
          <w:tcPr>
            <w:tcW w:w="1320" w:type="dxa"/>
            <w:vAlign w:val="bottom"/>
            <w:tcBorders>
              <w:top w:val="single" w:sz="8" w:color="auto"/>
              <w:bottom w:val="single" w:sz="8" w:color="auto"/>
            </w:tcBorders>
          </w:tcPr>
          <w:p>
            <w:pPr>
              <w:jc w:val="right"/>
              <w:ind w:right="1135"/>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62.9</w:t>
            </w:r>
          </w:p>
        </w:tc>
      </w:tr>
      <w:tr>
        <w:trPr>
          <w:trHeight w:val="264"/>
        </w:trPr>
        <w:tc>
          <w:tcPr>
            <w:tcW w:w="8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28"/>
        </w:trPr>
        <w:tc>
          <w:tcPr>
            <w:tcW w:w="8220" w:type="dxa"/>
            <w:vAlign w:val="bottom"/>
          </w:tcPr>
          <w:p>
            <w:pPr>
              <w:ind w:left="20"/>
              <w:spacing w:after="0"/>
              <w:rPr>
                <w:sz w:val="20"/>
                <w:szCs w:val="20"/>
                <w:color w:val="auto"/>
              </w:rPr>
            </w:pPr>
            <w:r>
              <w:rPr>
                <w:rFonts w:ascii="Arial" w:cs="Arial" w:eastAsia="Arial" w:hAnsi="Arial"/>
                <w:sz w:val="17"/>
                <w:szCs w:val="17"/>
                <w:color w:val="auto"/>
              </w:rPr>
              <w:t>Liabilities assumed:</w:t>
            </w:r>
          </w:p>
        </w:tc>
        <w:tc>
          <w:tcPr>
            <w:tcW w:w="13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6"/>
        </w:trPr>
        <w:tc>
          <w:tcPr>
            <w:tcW w:w="8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payable, accrued and other liabilities</w:t>
            </w:r>
          </w:p>
        </w:tc>
        <w:tc>
          <w:tcPr>
            <w:tcW w:w="1320" w:type="dxa"/>
            <w:vAlign w:val="bottom"/>
            <w:tcBorders>
              <w:bottom w:val="single" w:sz="8" w:color="CCEEFF"/>
            </w:tcBorders>
            <w:shd w:val="clear" w:color="auto" w:fill="CCEEFF"/>
          </w:tcPr>
          <w:p>
            <w:pPr>
              <w:jc w:val="right"/>
              <w:ind w:right="1135"/>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w:t>
            </w:r>
          </w:p>
        </w:tc>
      </w:tr>
      <w:tr>
        <w:trPr>
          <w:trHeight w:val="228"/>
        </w:trPr>
        <w:tc>
          <w:tcPr>
            <w:tcW w:w="8220" w:type="dxa"/>
            <w:vAlign w:val="bottom"/>
          </w:tcPr>
          <w:p>
            <w:pPr>
              <w:ind w:left="260"/>
              <w:spacing w:after="0"/>
              <w:rPr>
                <w:sz w:val="20"/>
                <w:szCs w:val="20"/>
                <w:color w:val="auto"/>
              </w:rPr>
            </w:pPr>
            <w:r>
              <w:rPr>
                <w:rFonts w:ascii="Arial" w:cs="Arial" w:eastAsia="Arial" w:hAnsi="Arial"/>
                <w:sz w:val="17"/>
                <w:szCs w:val="17"/>
                <w:color w:val="auto"/>
              </w:rPr>
              <w:t>Deferred revenue</w:t>
            </w:r>
          </w:p>
        </w:tc>
        <w:tc>
          <w:tcPr>
            <w:tcW w:w="1320" w:type="dxa"/>
            <w:vAlign w:val="bottom"/>
          </w:tcPr>
          <w:p>
            <w:pPr>
              <w:spacing w:after="0"/>
              <w:rPr>
                <w:sz w:val="19"/>
                <w:szCs w:val="19"/>
                <w:color w:val="auto"/>
              </w:rPr>
            </w:pP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4.8</w:t>
            </w:r>
          </w:p>
        </w:tc>
      </w:tr>
      <w:tr>
        <w:trPr>
          <w:trHeight w:val="26"/>
        </w:trPr>
        <w:tc>
          <w:tcPr>
            <w:tcW w:w="8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4"/>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tax liability</w:t>
            </w:r>
          </w:p>
        </w:tc>
        <w:tc>
          <w:tcPr>
            <w:tcW w:w="1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w:t>
            </w:r>
          </w:p>
        </w:tc>
      </w:tr>
      <w:tr>
        <w:trPr>
          <w:trHeight w:val="220"/>
        </w:trPr>
        <w:tc>
          <w:tcPr>
            <w:tcW w:w="8220" w:type="dxa"/>
            <w:vAlign w:val="bottom"/>
          </w:tcPr>
          <w:p>
            <w:pPr>
              <w:ind w:left="20"/>
              <w:spacing w:after="0"/>
              <w:rPr>
                <w:sz w:val="20"/>
                <w:szCs w:val="20"/>
                <w:color w:val="auto"/>
              </w:rPr>
            </w:pPr>
            <w:r>
              <w:rPr>
                <w:rFonts w:ascii="Arial" w:cs="Arial" w:eastAsia="Arial" w:hAnsi="Arial"/>
                <w:sz w:val="17"/>
                <w:szCs w:val="17"/>
                <w:color w:val="auto"/>
              </w:rPr>
              <w:t>Total liabilities assumed</w:t>
            </w:r>
          </w:p>
        </w:tc>
        <w:tc>
          <w:tcPr>
            <w:tcW w:w="13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18.0</w:t>
            </w:r>
          </w:p>
        </w:tc>
      </w:tr>
      <w:tr>
        <w:trPr>
          <w:trHeight w:val="26"/>
        </w:trPr>
        <w:tc>
          <w:tcPr>
            <w:tcW w:w="8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44.9</w:t>
            </w:r>
          </w:p>
        </w:tc>
      </w:tr>
      <w:tr>
        <w:trPr>
          <w:trHeight w:val="220"/>
        </w:trPr>
        <w:tc>
          <w:tcPr>
            <w:tcW w:w="8220" w:type="dxa"/>
            <w:vAlign w:val="bottom"/>
          </w:tcPr>
          <w:p>
            <w:pPr>
              <w:ind w:left="20"/>
              <w:spacing w:after="0"/>
              <w:rPr>
                <w:sz w:val="20"/>
                <w:szCs w:val="20"/>
                <w:color w:val="auto"/>
              </w:rPr>
            </w:pPr>
            <w:r>
              <w:rPr>
                <w:rFonts w:ascii="Arial" w:cs="Arial" w:eastAsia="Arial" w:hAnsi="Arial"/>
                <w:sz w:val="17"/>
                <w:szCs w:val="17"/>
                <w:color w:val="auto"/>
              </w:rPr>
              <w:t>Total purchase consideration</w:t>
            </w:r>
          </w:p>
        </w:tc>
        <w:tc>
          <w:tcPr>
            <w:tcW w:w="13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177.9</w:t>
            </w:r>
          </w:p>
        </w:tc>
      </w:tr>
      <w:tr>
        <w:trPr>
          <w:trHeight w:val="26"/>
        </w:trPr>
        <w:tc>
          <w:tcPr>
            <w:tcW w:w="8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7"/>
        </w:trPr>
        <w:tc>
          <w:tcPr>
            <w:tcW w:w="8220" w:type="dxa"/>
            <w:vAlign w:val="bottom"/>
            <w:tcBorders>
              <w:bottom w:val="single" w:sz="8" w:color="CCEEFF"/>
            </w:tcBorders>
            <w:shd w:val="clear" w:color="auto" w:fill="CCEEFF"/>
          </w:tcPr>
          <w:p>
            <w:pPr>
              <w:ind w:left="20"/>
              <w:spacing w:after="0" w:line="246" w:lineRule="exact"/>
              <w:rPr>
                <w:sz w:val="20"/>
                <w:szCs w:val="20"/>
                <w:color w:val="auto"/>
              </w:rPr>
            </w:pPr>
            <w:r>
              <w:rPr>
                <w:rFonts w:ascii="Arial" w:cs="Arial" w:eastAsia="Arial" w:hAnsi="Arial"/>
                <w:sz w:val="17"/>
                <w:szCs w:val="17"/>
                <w:color w:val="auto"/>
              </w:rPr>
              <w:t>Goodwill</w:t>
            </w:r>
            <w:r>
              <w:rPr>
                <w:rFonts w:ascii="Arial" w:cs="Arial" w:eastAsia="Arial" w:hAnsi="Arial"/>
                <w:sz w:val="23"/>
                <w:szCs w:val="23"/>
                <w:color w:val="auto"/>
                <w:vertAlign w:val="superscript"/>
              </w:rPr>
              <w:t>(2)</w:t>
            </w:r>
          </w:p>
        </w:tc>
        <w:tc>
          <w:tcPr>
            <w:tcW w:w="1320" w:type="dxa"/>
            <w:vAlign w:val="bottom"/>
            <w:tcBorders>
              <w:bottom w:val="single" w:sz="8" w:color="auto"/>
            </w:tcBorders>
            <w:shd w:val="clear" w:color="auto" w:fill="CCEEFF"/>
          </w:tcPr>
          <w:p>
            <w:pPr>
              <w:jc w:val="right"/>
              <w:ind w:right="1135"/>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133.0</w:t>
            </w:r>
          </w:p>
        </w:tc>
      </w:tr>
      <w:tr>
        <w:trPr>
          <w:trHeight w:val="20"/>
        </w:trPr>
        <w:tc>
          <w:tcPr>
            <w:tcW w:w="8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120" w:hanging="118"/>
        <w:spacing w:after="0"/>
        <w:tabs>
          <w:tab w:leader="none" w:pos="120" w:val="left"/>
        </w:tabs>
        <w:numPr>
          <w:ilvl w:val="0"/>
          <w:numId w:val="9"/>
        </w:numPr>
        <w:rPr>
          <w:rFonts w:ascii="Arial" w:cs="Arial" w:eastAsia="Arial" w:hAnsi="Arial"/>
          <w:sz w:val="8"/>
          <w:szCs w:val="8"/>
          <w:color w:val="auto"/>
        </w:rPr>
      </w:pPr>
      <w:r>
        <w:rPr>
          <w:rFonts w:ascii="Arial" w:cs="Arial" w:eastAsia="Arial" w:hAnsi="Arial"/>
          <w:sz w:val="12"/>
          <w:szCs w:val="12"/>
          <w:color w:val="auto"/>
        </w:rPr>
        <w:t>The goodwill recognized was primarily attributable to the opportunity to expand the user base of the Company's platform. The goodwill is not deductible for U.S. federal income tax purposes.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23"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w w:val="89"/>
              </w:rPr>
              <w:t>Estimated weighted average</w:t>
            </w:r>
          </w:p>
        </w:tc>
      </w:t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w w:val="90"/>
              </w:rPr>
              <w:t>useful lives</w:t>
            </w:r>
          </w:p>
        </w:tc>
      </w:tr>
      <w:tr>
        <w:trPr>
          <w:trHeight w:val="215"/>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w w:val="97"/>
              </w:rPr>
              <w:t>Estimated fair values</w:t>
            </w:r>
          </w:p>
        </w:tc>
        <w:tc>
          <w:tcPr>
            <w:tcW w:w="100" w:type="dxa"/>
            <w:vAlign w:val="bottom"/>
          </w:tcPr>
          <w:p>
            <w:pPr>
              <w:spacing w:after="0"/>
              <w:rPr>
                <w:sz w:val="18"/>
                <w:szCs w:val="18"/>
                <w:color w:val="auto"/>
              </w:rPr>
            </w:pPr>
          </w:p>
        </w:tc>
        <w:tc>
          <w:tcPr>
            <w:tcW w:w="2120" w:type="dxa"/>
            <w:vAlign w:val="bottom"/>
          </w:tcPr>
          <w:p>
            <w:pPr>
              <w:ind w:left="760"/>
              <w:spacing w:after="0"/>
              <w:rPr>
                <w:sz w:val="20"/>
                <w:szCs w:val="20"/>
                <w:color w:val="auto"/>
              </w:rPr>
            </w:pPr>
            <w:r>
              <w:rPr>
                <w:rFonts w:ascii="Arial" w:cs="Arial" w:eastAsia="Arial" w:hAnsi="Arial"/>
                <w:sz w:val="17"/>
                <w:szCs w:val="17"/>
                <w:color w:val="auto"/>
              </w:rPr>
              <w:t>(In years)</w:t>
            </w:r>
          </w:p>
        </w:tc>
      </w:tr>
      <w:tr>
        <w:trPr>
          <w:trHeight w:val="26"/>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20.5</w:t>
            </w:r>
          </w:p>
        </w:tc>
        <w:tc>
          <w:tcPr>
            <w:tcW w:w="2220" w:type="dxa"/>
            <w:vAlign w:val="bottom"/>
            <w:tcBorders>
              <w:bottom w:val="single" w:sz="8" w:color="CCEEFF"/>
            </w:tcBorders>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84"/>
              </w:rPr>
              <w:t>4.9</w:t>
            </w: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19.6</w:t>
            </w:r>
          </w:p>
        </w:tc>
        <w:tc>
          <w:tcPr>
            <w:tcW w:w="222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5.0</w:t>
            </w:r>
          </w:p>
        </w:tc>
      </w:tr>
      <w:tr>
        <w:trPr>
          <w:trHeight w:val="26"/>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w:t>
            </w:r>
          </w:p>
        </w:tc>
        <w:tc>
          <w:tcPr>
            <w:tcW w:w="2220" w:type="dxa"/>
            <w:vAlign w:val="bottom"/>
            <w:tcBorders>
              <w:bottom w:val="single" w:sz="8" w:color="CCEEFF"/>
            </w:tcBorders>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84"/>
              </w:rPr>
              <w:t>5.0</w:t>
            </w:r>
          </w:p>
        </w:tc>
      </w:tr>
      <w:tr>
        <w:trPr>
          <w:trHeight w:val="240"/>
        </w:trPr>
        <w:tc>
          <w:tcPr>
            <w:tcW w:w="686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394" w:lineRule="exact"/>
        <w:rPr>
          <w:sz w:val="20"/>
          <w:szCs w:val="20"/>
          <w:color w:val="auto"/>
        </w:rPr>
      </w:pPr>
    </w:p>
    <w:p>
      <w:pPr>
        <w:ind w:right="120" w:firstLine="406"/>
        <w:spacing w:after="0" w:line="257" w:lineRule="auto"/>
        <w:rPr>
          <w:sz w:val="20"/>
          <w:szCs w:val="20"/>
          <w:color w:val="auto"/>
        </w:rPr>
      </w:pPr>
      <w:r>
        <w:rPr>
          <w:rFonts w:ascii="Arial" w:cs="Arial" w:eastAsia="Arial" w:hAnsi="Arial"/>
          <w:sz w:val="17"/>
          <w:szCs w:val="17"/>
          <w:color w:val="auto"/>
        </w:rPr>
        <w:t>The fair values of the acquisition-related intangibles were determined using the following methodologies: the multi-period excess earnings method, replacement cost method, and the relief from royalty method, for customer relationships, developed technology, and the trade name, respectively. The valuation model inputs required the application of significant judgment by management. At the time of acquisition, the acquired intangible assets had a total weighted average amortization period of 4.9 years.</w:t>
      </w:r>
    </w:p>
    <w:p>
      <w:pPr>
        <w:spacing w:after="0" w:line="178" w:lineRule="exact"/>
        <w:rPr>
          <w:sz w:val="20"/>
          <w:szCs w:val="20"/>
          <w:color w:val="auto"/>
        </w:rPr>
      </w:pPr>
    </w:p>
    <w:p>
      <w:pPr>
        <w:ind w:right="40" w:firstLine="406"/>
        <w:spacing w:after="0" w:line="272" w:lineRule="auto"/>
        <w:rPr>
          <w:sz w:val="20"/>
          <w:szCs w:val="20"/>
          <w:color w:val="auto"/>
        </w:rPr>
      </w:pPr>
      <w:r>
        <w:rPr>
          <w:rFonts w:ascii="Arial" w:cs="Arial" w:eastAsia="Arial" w:hAnsi="Arial"/>
          <w:sz w:val="17"/>
          <w:szCs w:val="17"/>
          <w:color w:val="auto"/>
        </w:rPr>
        <w:t>One-time acquisition-related diligence costs of $1.0 million were expensed within general and administrative expenses as incurred during the six months ended June 30, 2019.</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Intangible Assets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4600" w:type="dxa"/>
            <w:vAlign w:val="bottom"/>
            <w:gridSpan w:val="3"/>
          </w:tcPr>
          <w:p>
            <w:pPr>
              <w:ind w:left="40"/>
              <w:spacing w:after="0"/>
              <w:rPr>
                <w:sz w:val="20"/>
                <w:szCs w:val="20"/>
                <w:color w:val="auto"/>
              </w:rPr>
            </w:pPr>
            <w:r>
              <w:rPr>
                <w:rFonts w:ascii="Arial" w:cs="Arial" w:eastAsia="Arial" w:hAnsi="Arial"/>
                <w:sz w:val="17"/>
                <w:szCs w:val="17"/>
                <w:color w:val="auto"/>
              </w:rPr>
              <w:t>Intangible assets consisted of the following:</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6"/>
        </w:trPr>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w:t>
            </w: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As of June 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jc w:val="right"/>
              <w:ind w:right="215"/>
              <w:spacing w:after="0"/>
              <w:rPr>
                <w:sz w:val="20"/>
                <w:szCs w:val="20"/>
                <w:color w:val="auto"/>
              </w:rPr>
            </w:pPr>
            <w:r>
              <w:rPr>
                <w:rFonts w:ascii="Arial" w:cs="Arial" w:eastAsia="Arial" w:hAnsi="Arial"/>
                <w:sz w:val="17"/>
                <w:szCs w:val="17"/>
                <w:b w:val="1"/>
                <w:bCs w:val="1"/>
                <w:color w:val="auto"/>
              </w:rPr>
              <w:t>As of December 31,</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87"/>
              </w:rPr>
              <w:t>average</w:t>
            </w: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60" w:type="dxa"/>
            <w:vAlign w:val="bottom"/>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vMerge w:val="restart"/>
          </w:tcPr>
          <w:p>
            <w:pPr>
              <w:jc w:val="center"/>
              <w:spacing w:after="0" w:line="187" w:lineRule="exact"/>
              <w:rPr>
                <w:sz w:val="20"/>
                <w:szCs w:val="20"/>
                <w:color w:val="auto"/>
              </w:rPr>
            </w:pPr>
            <w:r>
              <w:rPr>
                <w:rFonts w:ascii="Arial" w:cs="Arial" w:eastAsia="Arial" w:hAnsi="Arial"/>
                <w:sz w:val="17"/>
                <w:szCs w:val="17"/>
                <w:b w:val="1"/>
                <w:bCs w:val="1"/>
                <w:color w:val="auto"/>
                <w:w w:val="91"/>
              </w:rPr>
              <w:t>remaining</w:t>
            </w:r>
          </w:p>
        </w:tc>
        <w:tc>
          <w:tcPr>
            <w:tcW w:w="0" w:type="dxa"/>
            <w:vAlign w:val="bottom"/>
          </w:tcPr>
          <w:p>
            <w:pPr>
              <w:spacing w:after="0"/>
              <w:rPr>
                <w:sz w:val="1"/>
                <w:szCs w:val="1"/>
                <w:color w:val="auto"/>
              </w:rPr>
            </w:pPr>
          </w:p>
        </w:tc>
      </w:tr>
      <w:tr>
        <w:trPr>
          <w:trHeight w:val="90"/>
        </w:trPr>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540" w:type="dxa"/>
            <w:vAlign w:val="bottom"/>
            <w:vMerge w:val="restart"/>
          </w:tcPr>
          <w:p>
            <w:pPr>
              <w:jc w:val="right"/>
              <w:ind w:right="275"/>
              <w:spacing w:after="0"/>
              <w:rPr>
                <w:sz w:val="20"/>
                <w:szCs w:val="20"/>
                <w:color w:val="auto"/>
              </w:rPr>
            </w:pPr>
            <w:r>
              <w:rPr>
                <w:rFonts w:ascii="Arial" w:cs="Arial" w:eastAsia="Arial" w:hAnsi="Arial"/>
                <w:sz w:val="17"/>
                <w:szCs w:val="17"/>
                <w:b w:val="1"/>
                <w:bCs w:val="1"/>
                <w:color w:val="auto"/>
              </w:rPr>
              <w:t>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2019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88"/>
              </w:rPr>
              <w:t>useful life</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91"/>
              </w:rPr>
              <w:t>(In years)</w:t>
            </w:r>
          </w:p>
        </w:tc>
        <w:tc>
          <w:tcPr>
            <w:tcW w:w="0" w:type="dxa"/>
            <w:vAlign w:val="bottom"/>
          </w:tcPr>
          <w:p>
            <w:pPr>
              <w:spacing w:after="0"/>
              <w:rPr>
                <w:sz w:val="1"/>
                <w:szCs w:val="1"/>
                <w:color w:val="auto"/>
              </w:rPr>
            </w:pPr>
          </w:p>
        </w:tc>
      </w:tr>
      <w:tr>
        <w:trPr>
          <w:trHeight w:val="26"/>
        </w:trPr>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540" w:type="dxa"/>
            <w:vAlign w:val="bottom"/>
            <w:tcBorders>
              <w:bottom w:val="single" w:sz="8" w:color="CCEEFF"/>
            </w:tcBorders>
            <w:shd w:val="clear" w:color="auto" w:fill="CCEEFF"/>
          </w:tcPr>
          <w:p>
            <w:pPr>
              <w:jc w:val="right"/>
              <w:ind w:right="1355"/>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25.8</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5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25.8</w:t>
            </w:r>
          </w:p>
        </w:tc>
        <w:tc>
          <w:tcPr>
            <w:tcW w:w="2120" w:type="dxa"/>
            <w:vAlign w:val="bottom"/>
            <w:tcBorders>
              <w:bottom w:val="single" w:sz="8" w:color="CCEEFF"/>
            </w:tcBorders>
            <w:gridSpan w:val="2"/>
            <w:shd w:val="clear" w:color="auto" w:fill="CCEEFF"/>
          </w:tcPr>
          <w:p>
            <w:pPr>
              <w:jc w:val="right"/>
              <w:ind w:right="1695"/>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8"/>
        </w:trPr>
        <w:tc>
          <w:tcPr>
            <w:tcW w:w="4940" w:type="dxa"/>
            <w:vAlign w:val="bottom"/>
            <w:gridSpan w:val="4"/>
          </w:tcPr>
          <w:p>
            <w:pPr>
              <w:ind w:left="20"/>
              <w:spacing w:after="0"/>
              <w:rPr>
                <w:sz w:val="20"/>
                <w:szCs w:val="20"/>
                <w:color w:val="auto"/>
              </w:rPr>
            </w:pPr>
            <w:r>
              <w:rPr>
                <w:rFonts w:ascii="Arial" w:cs="Arial" w:eastAsia="Arial" w:hAnsi="Arial"/>
                <w:sz w:val="17"/>
                <w:szCs w:val="17"/>
                <w:color w:val="auto"/>
              </w:rPr>
              <w:t>Customer relationships</w:t>
            </w:r>
          </w:p>
        </w:tc>
        <w:tc>
          <w:tcPr>
            <w:tcW w:w="154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20.5</w:t>
            </w:r>
          </w:p>
        </w:tc>
        <w:tc>
          <w:tcPr>
            <w:tcW w:w="2120" w:type="dxa"/>
            <w:vAlign w:val="bottom"/>
            <w:gridSpan w:val="2"/>
          </w:tcPr>
          <w:p>
            <w:pPr>
              <w:jc w:val="right"/>
              <w:ind w:right="1695"/>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1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w:t>
            </w:r>
          </w:p>
        </w:tc>
        <w:tc>
          <w:tcPr>
            <w:tcW w:w="2120" w:type="dxa"/>
            <w:vAlign w:val="bottom"/>
            <w:tcBorders>
              <w:bottom w:val="single" w:sz="8" w:color="CCEEFF"/>
            </w:tcBorders>
            <w:gridSpan w:val="2"/>
            <w:shd w:val="clear" w:color="auto" w:fill="CCEEFF"/>
          </w:tcPr>
          <w:p>
            <w:pPr>
              <w:jc w:val="right"/>
              <w:ind w:right="1695"/>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8"/>
        </w:trPr>
        <w:tc>
          <w:tcPr>
            <w:tcW w:w="4940" w:type="dxa"/>
            <w:vAlign w:val="bottom"/>
            <w:gridSpan w:val="4"/>
          </w:tcPr>
          <w:p>
            <w:pPr>
              <w:ind w:left="20"/>
              <w:spacing w:after="0"/>
              <w:rPr>
                <w:sz w:val="20"/>
                <w:szCs w:val="20"/>
                <w:color w:val="auto"/>
              </w:rPr>
            </w:pPr>
            <w:r>
              <w:rPr>
                <w:rFonts w:ascii="Arial" w:cs="Arial" w:eastAsia="Arial" w:hAnsi="Arial"/>
                <w:sz w:val="17"/>
                <w:szCs w:val="17"/>
                <w:color w:val="auto"/>
              </w:rPr>
              <w:t>Patents</w:t>
            </w:r>
          </w:p>
        </w:tc>
        <w:tc>
          <w:tcPr>
            <w:tcW w:w="154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13.0</w:t>
            </w:r>
          </w:p>
        </w:tc>
        <w:tc>
          <w:tcPr>
            <w:tcW w:w="2120" w:type="dxa"/>
            <w:vAlign w:val="bottom"/>
            <w:gridSpan w:val="2"/>
          </w:tcPr>
          <w:p>
            <w:pPr>
              <w:jc w:val="right"/>
              <w:ind w:right="1695"/>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Assembled workforce in asset acquisitions</w:t>
            </w:r>
          </w:p>
        </w:tc>
        <w:tc>
          <w:tcPr>
            <w:tcW w:w="1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12.6</w:t>
            </w:r>
          </w:p>
        </w:tc>
        <w:tc>
          <w:tcPr>
            <w:tcW w:w="2120" w:type="dxa"/>
            <w:vAlign w:val="bottom"/>
            <w:tcBorders>
              <w:bottom w:val="single" w:sz="8" w:color="CCEEFF"/>
            </w:tcBorders>
            <w:gridSpan w:val="2"/>
            <w:shd w:val="clear" w:color="auto" w:fill="CCEEFF"/>
          </w:tcPr>
          <w:p>
            <w:pPr>
              <w:jc w:val="right"/>
              <w:ind w:right="1695"/>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8"/>
        </w:trPr>
        <w:tc>
          <w:tcPr>
            <w:tcW w:w="4940" w:type="dxa"/>
            <w:vAlign w:val="bottom"/>
            <w:gridSpan w:val="4"/>
          </w:tcPr>
          <w:p>
            <w:pPr>
              <w:ind w:left="20"/>
              <w:spacing w:after="0"/>
              <w:rPr>
                <w:sz w:val="20"/>
                <w:szCs w:val="20"/>
                <w:color w:val="auto"/>
              </w:rPr>
            </w:pPr>
            <w:r>
              <w:rPr>
                <w:rFonts w:ascii="Arial" w:cs="Arial" w:eastAsia="Arial" w:hAnsi="Arial"/>
                <w:sz w:val="17"/>
                <w:szCs w:val="17"/>
                <w:color w:val="auto"/>
              </w:rPr>
              <w:t>Trademarks and trade names</w:t>
            </w:r>
          </w:p>
        </w:tc>
        <w:tc>
          <w:tcPr>
            <w:tcW w:w="154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5.2</w:t>
            </w:r>
          </w:p>
        </w:tc>
        <w:tc>
          <w:tcPr>
            <w:tcW w:w="2120" w:type="dxa"/>
            <w:vAlign w:val="bottom"/>
            <w:gridSpan w:val="2"/>
          </w:tcPr>
          <w:p>
            <w:pPr>
              <w:jc w:val="right"/>
              <w:ind w:right="1695"/>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Licenses</w:t>
            </w:r>
          </w:p>
        </w:tc>
        <w:tc>
          <w:tcPr>
            <w:tcW w:w="1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w:t>
            </w:r>
          </w:p>
        </w:tc>
        <w:tc>
          <w:tcPr>
            <w:tcW w:w="2120" w:type="dxa"/>
            <w:vAlign w:val="bottom"/>
            <w:tcBorders>
              <w:bottom w:val="single" w:sz="8" w:color="CCEEFF"/>
            </w:tcBorders>
            <w:gridSpan w:val="2"/>
            <w:shd w:val="clear" w:color="auto" w:fill="CCEEFF"/>
          </w:tcPr>
          <w:p>
            <w:pPr>
              <w:jc w:val="right"/>
              <w:ind w:right="169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8"/>
        </w:trPr>
        <w:tc>
          <w:tcPr>
            <w:tcW w:w="4940" w:type="dxa"/>
            <w:vAlign w:val="bottom"/>
            <w:gridSpan w:val="4"/>
          </w:tcPr>
          <w:p>
            <w:pPr>
              <w:ind w:left="20"/>
              <w:spacing w:after="0"/>
              <w:rPr>
                <w:sz w:val="20"/>
                <w:szCs w:val="20"/>
                <w:color w:val="auto"/>
              </w:rPr>
            </w:pPr>
            <w:r>
              <w:rPr>
                <w:rFonts w:ascii="Arial" w:cs="Arial" w:eastAsia="Arial" w:hAnsi="Arial"/>
                <w:sz w:val="17"/>
                <w:szCs w:val="17"/>
                <w:color w:val="auto"/>
              </w:rPr>
              <w:t>Other</w:t>
            </w:r>
          </w:p>
        </w:tc>
        <w:tc>
          <w:tcPr>
            <w:tcW w:w="154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3.3</w:t>
            </w:r>
          </w:p>
        </w:tc>
        <w:tc>
          <w:tcPr>
            <w:tcW w:w="2120" w:type="dxa"/>
            <w:vAlign w:val="bottom"/>
            <w:gridSpan w:val="2"/>
          </w:tcPr>
          <w:p>
            <w:pPr>
              <w:jc w:val="right"/>
              <w:ind w:right="1695"/>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6"/>
        </w:trPr>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0"/>
                <w:shd w:val="clear" w:color="auto" w:fill="CCEEFF"/>
              </w:rPr>
              <w:t>Total intangibles</w:t>
            </w:r>
          </w:p>
        </w:tc>
        <w:tc>
          <w:tcPr>
            <w:tcW w:w="34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105.2</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105.0</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gridSpan w:val="4"/>
          </w:tcPr>
          <w:p>
            <w:pPr>
              <w:ind w:left="20"/>
              <w:spacing w:after="0"/>
              <w:rPr>
                <w:sz w:val="20"/>
                <w:szCs w:val="20"/>
                <w:color w:val="auto"/>
              </w:rPr>
            </w:pPr>
            <w:r>
              <w:rPr>
                <w:rFonts w:ascii="Arial" w:cs="Arial" w:eastAsia="Arial" w:hAnsi="Arial"/>
                <w:sz w:val="17"/>
                <w:szCs w:val="17"/>
                <w:color w:val="auto"/>
              </w:rPr>
              <w:t>Accumulated amortization</w:t>
            </w:r>
          </w:p>
        </w:tc>
        <w:tc>
          <w:tcPr>
            <w:tcW w:w="1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4"/>
              </w:rPr>
              <w:t>(64.7)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(57.6)</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85"/>
                <w:shd w:val="clear" w:color="auto" w:fill="CCEEFF"/>
              </w:rPr>
              <w:t>Intangible assets, net</w:t>
            </w:r>
          </w:p>
        </w:tc>
        <w:tc>
          <w:tcPr>
            <w:tcW w:w="3520" w:type="dxa"/>
            <w:vAlign w:val="bottom"/>
            <w:tcBorders>
              <w:bottom w:val="single" w:sz="8" w:color="CCEEFF"/>
            </w:tcBorders>
            <w:gridSpan w:val="2"/>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55"/>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ind w:right="160" w:firstLine="406"/>
        <w:spacing w:after="0" w:line="272" w:lineRule="auto"/>
        <w:rPr>
          <w:sz w:val="20"/>
          <w:szCs w:val="20"/>
          <w:color w:val="auto"/>
        </w:rPr>
      </w:pPr>
      <w:r>
        <w:rPr>
          <w:rFonts w:ascii="Arial" w:cs="Arial" w:eastAsia="Arial" w:hAnsi="Arial"/>
          <w:sz w:val="17"/>
          <w:szCs w:val="17"/>
          <w:color w:val="auto"/>
        </w:rPr>
        <w:t>Amortization expense was $3.5 million and $7.0 million for the three and six months ended June 30, 2020, respectively, and $3.7 million and $6.5 million for the three and six months ended June 30, 2019,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23"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980" w:type="dxa"/>
            <w:vAlign w:val="bottom"/>
          </w:tcPr>
          <w:p>
            <w:pPr>
              <w:ind w:left="29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609"/>
        </w:trPr>
        <w:tc>
          <w:tcPr>
            <w:tcW w:w="8980" w:type="dxa"/>
            <w:vAlign w:val="bottom"/>
          </w:tcPr>
          <w:p>
            <w:pPr>
              <w:ind w:left="380"/>
              <w:spacing w:after="0"/>
              <w:rPr>
                <w:sz w:val="20"/>
                <w:szCs w:val="20"/>
                <w:color w:val="auto"/>
              </w:rPr>
            </w:pPr>
            <w:r>
              <w:rPr>
                <w:rFonts w:ascii="Arial" w:cs="Arial" w:eastAsia="Arial" w:hAnsi="Arial"/>
                <w:sz w:val="17"/>
                <w:szCs w:val="17"/>
                <w:color w:val="auto"/>
              </w:rPr>
              <w:t>Expected future amortization expense for intangible assets as of June 30, 2020 is as follows:</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35"/>
        </w:trPr>
        <w:tc>
          <w:tcPr>
            <w:tcW w:w="8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Remaining six months of Fiscal 2020</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w:t>
            </w:r>
          </w:p>
        </w:tc>
      </w:tr>
      <w:tr>
        <w:trPr>
          <w:trHeight w:val="228"/>
        </w:trPr>
        <w:tc>
          <w:tcPr>
            <w:tcW w:w="8980" w:type="dxa"/>
            <w:vAlign w:val="bottom"/>
          </w:tcPr>
          <w:p>
            <w:pPr>
              <w:ind w:left="20"/>
              <w:spacing w:after="0"/>
              <w:rPr>
                <w:sz w:val="20"/>
                <w:szCs w:val="20"/>
                <w:color w:val="auto"/>
              </w:rPr>
            </w:pPr>
            <w:r>
              <w:rPr>
                <w:rFonts w:ascii="Arial" w:cs="Arial" w:eastAsia="Arial" w:hAnsi="Arial"/>
                <w:sz w:val="17"/>
                <w:szCs w:val="17"/>
                <w:color w:val="auto"/>
              </w:rPr>
              <w:t>2021</w:t>
            </w:r>
          </w:p>
        </w:tc>
        <w:tc>
          <w:tcPr>
            <w:tcW w:w="98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11.6</w:t>
            </w:r>
          </w:p>
        </w:tc>
      </w:tr>
      <w:tr>
        <w:trPr>
          <w:trHeight w:val="26"/>
        </w:trPr>
        <w:tc>
          <w:tcPr>
            <w:tcW w:w="8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9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w:t>
            </w:r>
          </w:p>
        </w:tc>
      </w:tr>
      <w:tr>
        <w:trPr>
          <w:trHeight w:val="228"/>
        </w:trPr>
        <w:tc>
          <w:tcPr>
            <w:tcW w:w="8980" w:type="dxa"/>
            <w:vAlign w:val="bottom"/>
          </w:tcPr>
          <w:p>
            <w:pPr>
              <w:ind w:left="20"/>
              <w:spacing w:after="0"/>
              <w:rPr>
                <w:sz w:val="20"/>
                <w:szCs w:val="20"/>
                <w:color w:val="auto"/>
              </w:rPr>
            </w:pPr>
            <w:r>
              <w:rPr>
                <w:rFonts w:ascii="Arial" w:cs="Arial" w:eastAsia="Arial" w:hAnsi="Arial"/>
                <w:sz w:val="17"/>
                <w:szCs w:val="17"/>
                <w:color w:val="auto"/>
              </w:rPr>
              <w:t>2023</w:t>
            </w:r>
          </w:p>
        </w:tc>
        <w:tc>
          <w:tcPr>
            <w:tcW w:w="98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7.5</w:t>
            </w:r>
          </w:p>
        </w:tc>
      </w:tr>
      <w:tr>
        <w:trPr>
          <w:trHeight w:val="26"/>
        </w:trPr>
        <w:tc>
          <w:tcPr>
            <w:tcW w:w="8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9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w:t>
            </w:r>
          </w:p>
        </w:tc>
      </w:tr>
      <w:tr>
        <w:trPr>
          <w:trHeight w:val="228"/>
        </w:trPr>
        <w:tc>
          <w:tcPr>
            <w:tcW w:w="898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98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2.7</w:t>
            </w:r>
          </w:p>
        </w:tc>
      </w:tr>
      <w:tr>
        <w:trPr>
          <w:trHeight w:val="26"/>
        </w:trPr>
        <w:tc>
          <w:tcPr>
            <w:tcW w:w="8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2"/>
        </w:trPr>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215" w:lineRule="exact"/>
        <w:rPr>
          <w:sz w:val="20"/>
          <w:szCs w:val="20"/>
          <w:color w:val="auto"/>
        </w:rPr>
      </w:pPr>
    </w:p>
    <w:p>
      <w:pPr>
        <w:jc w:val="both"/>
        <w:ind w:firstLine="406"/>
        <w:spacing w:after="0" w:line="272"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234.5</w:t>
            </w:r>
          </w:p>
        </w:tc>
      </w:tr>
      <w:tr>
        <w:trPr>
          <w:trHeight w:val="228"/>
        </w:trPr>
        <w:tc>
          <w:tcPr>
            <w:tcW w:w="7960" w:type="dxa"/>
            <w:vAlign w:val="bottom"/>
          </w:tcPr>
          <w:p>
            <w:pPr>
              <w:ind w:left="240"/>
              <w:spacing w:after="0"/>
              <w:rPr>
                <w:sz w:val="20"/>
                <w:szCs w:val="20"/>
                <w:color w:val="auto"/>
              </w:rPr>
            </w:pPr>
            <w:r>
              <w:rPr>
                <w:rFonts w:ascii="Arial" w:cs="Arial" w:eastAsia="Arial" w:hAnsi="Arial"/>
                <w:sz w:val="17"/>
                <w:szCs w:val="17"/>
                <w:color w:val="auto"/>
              </w:rPr>
              <w:t>Effect of foreign currency translation</w:t>
            </w:r>
          </w:p>
        </w:tc>
        <w:tc>
          <w:tcPr>
            <w:tcW w:w="1440" w:type="dxa"/>
            <w:vAlign w:val="bottom"/>
          </w:tcPr>
          <w:p>
            <w:pPr>
              <w:spacing w:after="0"/>
              <w:rPr>
                <w:sz w:val="19"/>
                <w:szCs w:val="19"/>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0.2</w:t>
            </w:r>
          </w:p>
        </w:tc>
      </w:tr>
      <w:tr>
        <w:trPr>
          <w:trHeight w:val="26"/>
        </w:trPr>
        <w:tc>
          <w:tcPr>
            <w:tcW w:w="79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2"/>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Balance at June 30, 2020</w:t>
            </w:r>
          </w:p>
        </w:tc>
        <w:tc>
          <w:tcPr>
            <w:tcW w:w="1440" w:type="dxa"/>
            <w:vAlign w:val="bottom"/>
            <w:tcBorders>
              <w:bottom w:val="single" w:sz="8" w:color="CCEEFF"/>
            </w:tcBorders>
            <w:shd w:val="clear" w:color="auto" w:fill="CCEEFF"/>
          </w:tcPr>
          <w:p>
            <w:pPr>
              <w:jc w:val="right"/>
              <w:ind w:right="1235"/>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234.7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right="980" w:firstLine="406"/>
        <w:spacing w:after="0" w:line="272" w:lineRule="auto"/>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as of June 30, 2020 and December 31, 2019.</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Revolving Credit Facility</w:t>
      </w:r>
    </w:p>
    <w:p>
      <w:pPr>
        <w:spacing w:after="0" w:line="215" w:lineRule="exact"/>
        <w:rPr>
          <w:sz w:val="20"/>
          <w:szCs w:val="20"/>
          <w:color w:val="auto"/>
        </w:rPr>
      </w:pPr>
    </w:p>
    <w:p>
      <w:pPr>
        <w:ind w:right="240" w:firstLine="406"/>
        <w:spacing w:after="0" w:line="261" w:lineRule="auto"/>
        <w:rPr>
          <w:sz w:val="20"/>
          <w:szCs w:val="20"/>
          <w:color w:val="auto"/>
        </w:rPr>
      </w:pPr>
      <w:r>
        <w:rPr>
          <w:rFonts w:ascii="Arial" w:cs="Arial" w:eastAsia="Arial" w:hAnsi="Arial"/>
          <w:sz w:val="17"/>
          <w:szCs w:val="17"/>
          <w:color w:val="auto"/>
        </w:rPr>
        <w:t>In April 2017, the Company entered into an amended and restated credit and guaranty agreement which provided for a $600.0 million revolving loan facility (as amended from time to time, the “revolving credit facility”). In conjunction with the revolving credit facility, the Company paid upfront issuance fees of $2.6 million, which are being amortized over the five-year term of the agreement.</w:t>
      </w:r>
    </w:p>
    <w:p>
      <w:pPr>
        <w:spacing w:after="0" w:line="175" w:lineRule="exact"/>
        <w:rPr>
          <w:sz w:val="20"/>
          <w:szCs w:val="20"/>
          <w:color w:val="auto"/>
        </w:rPr>
      </w:pPr>
    </w:p>
    <w:p>
      <w:pPr>
        <w:ind w:right="40" w:firstLine="406"/>
        <w:spacing w:after="0" w:line="297" w:lineRule="auto"/>
        <w:rPr>
          <w:sz w:val="20"/>
          <w:szCs w:val="20"/>
          <w:color w:val="auto"/>
        </w:rPr>
      </w:pPr>
      <w:r>
        <w:rPr>
          <w:rFonts w:ascii="Arial" w:cs="Arial" w:eastAsia="Arial" w:hAnsi="Arial"/>
          <w:sz w:val="15"/>
          <w:szCs w:val="15"/>
          <w:color w:val="auto"/>
        </w:rPr>
        <w:t>In February 2018, the Company amended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 increase. In conjunction with the amendment, the Company paid upfront issuance fees of $0.4 million, which are being amortized over the remaining term of the agreement.</w:t>
      </w:r>
    </w:p>
    <w:p>
      <w:pPr>
        <w:spacing w:after="0" w:line="151" w:lineRule="exact"/>
        <w:rPr>
          <w:sz w:val="20"/>
          <w:szCs w:val="20"/>
          <w:color w:val="auto"/>
        </w:rPr>
      </w:pPr>
    </w:p>
    <w:p>
      <w:pPr>
        <w:ind w:right="20" w:firstLine="406"/>
        <w:spacing w:after="0" w:line="253"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23"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right="80" w:firstLine="406"/>
        <w:spacing w:after="0" w:line="255"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revolving credit facility as of June 30, 2020 and December 31, 2019, respectively.</w:t>
      </w:r>
    </w:p>
    <w:p>
      <w:pPr>
        <w:spacing w:after="0" w:line="180" w:lineRule="exact"/>
        <w:rPr>
          <w:sz w:val="20"/>
          <w:szCs w:val="20"/>
          <w:color w:val="auto"/>
        </w:rPr>
      </w:pPr>
    </w:p>
    <w:p>
      <w:pPr>
        <w:ind w:right="60" w:firstLine="406"/>
        <w:spacing w:after="0" w:line="261" w:lineRule="auto"/>
        <w:rPr>
          <w:sz w:val="20"/>
          <w:szCs w:val="20"/>
          <w:color w:val="auto"/>
        </w:rPr>
      </w:pPr>
      <w:r>
        <w:rPr>
          <w:rFonts w:ascii="Arial" w:cs="Arial" w:eastAsia="Arial" w:hAnsi="Arial"/>
          <w:sz w:val="17"/>
          <w:szCs w:val="17"/>
          <w:color w:val="auto"/>
        </w:rPr>
        <w:t>The Company had an aggregate of $45.6 million of letters of credit outstanding under the revolving credit facility as of June 30, 2020, and the Company’s total available borrowing capacity under the revolving credit facility was $679.4 million as of June 30, 2020. The Company’s letters of credit expire between September 2020 and September 2023.</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215" w:lineRule="exact"/>
        <w:rPr>
          <w:sz w:val="20"/>
          <w:szCs w:val="20"/>
          <w:color w:val="auto"/>
        </w:rPr>
      </w:pPr>
    </w:p>
    <w:p>
      <w:pPr>
        <w:ind w:right="100" w:firstLine="305"/>
        <w:spacing w:after="0" w:line="272" w:lineRule="auto"/>
        <w:rPr>
          <w:sz w:val="20"/>
          <w:szCs w:val="20"/>
          <w:color w:val="auto"/>
        </w:rPr>
      </w:pPr>
      <w:r>
        <w:rPr>
          <w:rFonts w:ascii="Arial" w:cs="Arial" w:eastAsia="Arial" w:hAnsi="Arial"/>
          <w:sz w:val="17"/>
          <w:szCs w:val="17"/>
          <w:color w:val="auto"/>
        </w:rPr>
        <w:t>The Company has operating leases for corporate offices and datacenters, and finance leases for infrastructure equipment. The Company’s leases have remaining lease terms of 1 year to 16 years, some of which include options to extend the leases for up to 5 years.</w:t>
      </w:r>
    </w:p>
    <w:p>
      <w:pPr>
        <w:spacing w:after="0" w:line="166" w:lineRule="exact"/>
        <w:rPr>
          <w:sz w:val="20"/>
          <w:szCs w:val="20"/>
          <w:color w:val="auto"/>
        </w:rPr>
      </w:pPr>
    </w:p>
    <w:p>
      <w:pPr>
        <w:ind w:right="40" w:firstLine="305"/>
        <w:spacing w:after="0" w:line="261" w:lineRule="auto"/>
        <w:rPr>
          <w:sz w:val="20"/>
          <w:szCs w:val="20"/>
          <w:color w:val="auto"/>
        </w:rPr>
      </w:pPr>
      <w:r>
        <w:rPr>
          <w:rFonts w:ascii="Arial" w:cs="Arial" w:eastAsia="Arial" w:hAnsi="Arial"/>
          <w:sz w:val="17"/>
          <w:szCs w:val="17"/>
          <w:color w:val="auto"/>
        </w:rPr>
        <w:t>The Company also has subleases of former corporate offices. Subleases have remaining lease terms of 1 year to 3 years. Sublease income, which is recorded as a reduction of rental expense, was $1.7 million and $3.5 million for the three and six months ended June 30, 2020, respectively, and $1.6 million and $3.5 million for the three and six months ended June 30, 2019, respectively.</w:t>
      </w:r>
    </w:p>
    <w:p>
      <w:pPr>
        <w:spacing w:after="0" w:line="175" w:lineRule="exact"/>
        <w:rPr>
          <w:sz w:val="20"/>
          <w:szCs w:val="20"/>
          <w:color w:val="auto"/>
        </w:rPr>
      </w:pPr>
    </w:p>
    <w:p>
      <w:pPr>
        <w:ind w:firstLine="305"/>
        <w:spacing w:after="0" w:line="269" w:lineRule="auto"/>
        <w:rPr>
          <w:sz w:val="20"/>
          <w:szCs w:val="20"/>
          <w:color w:val="auto"/>
        </w:rPr>
      </w:pPr>
      <w:r>
        <w:rPr>
          <w:rFonts w:ascii="Arial" w:cs="Arial" w:eastAsia="Arial" w:hAnsi="Arial"/>
          <w:sz w:val="16"/>
          <w:szCs w:val="16"/>
          <w:color w:val="auto"/>
        </w:rPr>
        <w:t>In 2017, the Company entered into a lease agreement for office space in San Francisco, California, to serve as its new corporate headquarters. The Company took initial possession of the first phase of its new corporate headquarters in June 2018, and began to recognize single lease cost related to the first phase. In that same period, the Company recorded a lease incentive obligation related to tenant improvement reimbursements associated with the first phase. In April 2019, the Company took possession of the second phase, and began to recognize additional lease costs and recorded an additional lease obligation, net of tenant improvement reimbursements related to the second phase. In December 2019, the Company took possession of the final phase, and began to recognize lease costs and lease obligation, net of tenant improvement reimbursements related to the third phase. The Company's total expected minimum obligations for all three phases of the lease are $842.7 million, which exclude expected tenant improvement reimbursements from the landlord of approximately $75.0 million and variable operating expenses. As of June 30, 2020, the remaining total expected minimum obligations are $815.9 million. The Company’s obligations under the lease are supported by a $34.2 million letter of credit, which reduced the borrowing capacity under the revolving credit facility. In the six months ended June 30, 2020, the Company collected tenant improvement reimbursements from the landlord totaling $14.7 million.</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Future minimum lease payments under non-cancellable leases as of June 30, 2020 were as follows:</w:t>
      </w:r>
    </w:p>
    <w:p>
      <w:pPr>
        <w:spacing w:after="0" w:line="339" w:lineRule="exact"/>
        <w:rPr>
          <w:sz w:val="20"/>
          <w:szCs w:val="20"/>
          <w:color w:val="auto"/>
        </w:rPr>
      </w:pPr>
    </w:p>
    <w:tbl>
      <w:tblPr>
        <w:tblLayout w:type="fixed"/>
        <w:tblInd w:w="200" w:type="dxa"/>
        <w:tblCellMar>
          <w:top w:w="0" w:type="dxa"/>
          <w:left w:w="0" w:type="dxa"/>
          <w:bottom w:w="0" w:type="dxa"/>
          <w:right w:w="0" w:type="dxa"/>
        </w:tblCellMar>
      </w:tblPr>
      <w:tr>
        <w:trPr>
          <w:trHeight w:val="264"/>
        </w:trPr>
        <w:tc>
          <w:tcPr>
            <w:tcW w:w="6620" w:type="dxa"/>
            <w:vAlign w:val="bottom"/>
          </w:tcPr>
          <w:p>
            <w:pPr>
              <w:ind w:left="40"/>
              <w:spacing w:after="0"/>
              <w:rPr>
                <w:sz w:val="20"/>
                <w:szCs w:val="20"/>
                <w:color w:val="auto"/>
              </w:rPr>
            </w:pPr>
            <w:r>
              <w:rPr>
                <w:rFonts w:ascii="Arial" w:cs="Arial" w:eastAsia="Arial" w:hAnsi="Arial"/>
                <w:sz w:val="17"/>
                <w:szCs w:val="17"/>
                <w:b w:val="1"/>
                <w:bCs w:val="1"/>
                <w:color w:val="auto"/>
              </w:rPr>
              <w:t>Year ending December 31,</w:t>
            </w:r>
          </w:p>
        </w:tc>
        <w:tc>
          <w:tcPr>
            <w:tcW w:w="240" w:type="dxa"/>
            <w:vAlign w:val="bottom"/>
          </w:tcPr>
          <w:p>
            <w:pPr>
              <w:spacing w:after="0"/>
              <w:rPr>
                <w:sz w:val="23"/>
                <w:szCs w:val="23"/>
                <w:color w:val="auto"/>
              </w:rPr>
            </w:pPr>
          </w:p>
        </w:tc>
        <w:tc>
          <w:tcPr>
            <w:tcW w:w="1920" w:type="dxa"/>
            <w:vAlign w:val="bottom"/>
            <w:gridSpan w:val="2"/>
          </w:tcPr>
          <w:p>
            <w:pPr>
              <w:ind w:left="120"/>
              <w:spacing w:after="0"/>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740" w:type="dxa"/>
            <w:vAlign w:val="bottom"/>
          </w:tcPr>
          <w:p>
            <w:pPr>
              <w:jc w:val="right"/>
              <w:ind w:right="435"/>
              <w:spacing w:after="0"/>
              <w:rPr>
                <w:sz w:val="20"/>
                <w:szCs w:val="20"/>
                <w:color w:val="auto"/>
              </w:rPr>
            </w:pPr>
            <w:r>
              <w:rPr>
                <w:rFonts w:ascii="Arial" w:cs="Arial" w:eastAsia="Arial" w:hAnsi="Arial"/>
                <w:sz w:val="17"/>
                <w:szCs w:val="17"/>
                <w:b w:val="1"/>
                <w:bCs w:val="1"/>
                <w:color w:val="auto"/>
                <w:w w:val="99"/>
              </w:rPr>
              <w:t>Finance leases</w:t>
            </w:r>
          </w:p>
        </w:tc>
      </w:tr>
      <w:tr>
        <w:trPr>
          <w:trHeight w:val="227"/>
        </w:trPr>
        <w:tc>
          <w:tcPr>
            <w:tcW w:w="6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 (excluding the six months ended June 30, 2020)</w:t>
            </w:r>
          </w:p>
        </w:tc>
        <w:tc>
          <w:tcPr>
            <w:tcW w:w="24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47.5</w:t>
            </w:r>
          </w:p>
        </w:tc>
      </w:tr>
      <w:tr>
        <w:trPr>
          <w:trHeight w:val="228"/>
        </w:trPr>
        <w:tc>
          <w:tcPr>
            <w:tcW w:w="6620" w:type="dxa"/>
            <w:vAlign w:val="bottom"/>
          </w:tcPr>
          <w:p>
            <w:pPr>
              <w:ind w:left="40"/>
              <w:spacing w:after="0"/>
              <w:rPr>
                <w:sz w:val="20"/>
                <w:szCs w:val="20"/>
                <w:color w:val="auto"/>
              </w:rPr>
            </w:pPr>
            <w:r>
              <w:rPr>
                <w:rFonts w:ascii="Arial" w:cs="Arial" w:eastAsia="Arial" w:hAnsi="Arial"/>
                <w:sz w:val="17"/>
                <w:szCs w:val="17"/>
                <w:color w:val="auto"/>
              </w:rPr>
              <w:t>2021</w:t>
            </w:r>
          </w:p>
        </w:tc>
        <w:tc>
          <w:tcPr>
            <w:tcW w:w="240" w:type="dxa"/>
            <w:vAlign w:val="bottom"/>
          </w:tcPr>
          <w:p>
            <w:pPr>
              <w:spacing w:after="0"/>
              <w:rPr>
                <w:sz w:val="19"/>
                <w:szCs w:val="19"/>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85.8</w:t>
            </w:r>
          </w:p>
        </w:tc>
      </w:tr>
      <w:tr>
        <w:trPr>
          <w:trHeight w:val="26"/>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71.7</w:t>
            </w:r>
          </w:p>
        </w:tc>
      </w:tr>
      <w:tr>
        <w:trPr>
          <w:trHeight w:val="228"/>
        </w:trPr>
        <w:tc>
          <w:tcPr>
            <w:tcW w:w="6620" w:type="dxa"/>
            <w:vAlign w:val="bottom"/>
          </w:tcPr>
          <w:p>
            <w:pPr>
              <w:ind w:left="40"/>
              <w:spacing w:after="0"/>
              <w:rPr>
                <w:sz w:val="20"/>
                <w:szCs w:val="20"/>
                <w:color w:val="auto"/>
              </w:rPr>
            </w:pPr>
            <w:r>
              <w:rPr>
                <w:rFonts w:ascii="Arial" w:cs="Arial" w:eastAsia="Arial" w:hAnsi="Arial"/>
                <w:sz w:val="17"/>
                <w:szCs w:val="17"/>
                <w:color w:val="auto"/>
              </w:rPr>
              <w:t>2023</w:t>
            </w:r>
          </w:p>
        </w:tc>
        <w:tc>
          <w:tcPr>
            <w:tcW w:w="240" w:type="dxa"/>
            <w:vAlign w:val="bottom"/>
          </w:tcPr>
          <w:p>
            <w:pPr>
              <w:spacing w:after="0"/>
              <w:rPr>
                <w:sz w:val="19"/>
                <w:szCs w:val="19"/>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95.6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38.1</w:t>
            </w:r>
          </w:p>
        </w:tc>
      </w:tr>
      <w:tr>
        <w:trPr>
          <w:trHeight w:val="26"/>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w:t>
            </w:r>
          </w:p>
        </w:tc>
      </w:tr>
      <w:tr>
        <w:trPr>
          <w:trHeight w:val="228"/>
        </w:trPr>
        <w:tc>
          <w:tcPr>
            <w:tcW w:w="662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240" w:type="dxa"/>
            <w:vAlign w:val="bottom"/>
          </w:tcPr>
          <w:p>
            <w:pPr>
              <w:spacing w:after="0"/>
              <w:rPr>
                <w:sz w:val="19"/>
                <w:szCs w:val="19"/>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644.3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future minimum lease payments</w:t>
            </w:r>
          </w:p>
        </w:tc>
        <w:tc>
          <w:tcPr>
            <w:tcW w:w="2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shd w:val="clear" w:color="auto" w:fill="CCEEFF"/>
              </w:rPr>
              <w:t>248.5</w:t>
            </w:r>
          </w:p>
        </w:tc>
      </w:tr>
      <w:tr>
        <w:trPr>
          <w:trHeight w:val="228"/>
        </w:trPr>
        <w:tc>
          <w:tcPr>
            <w:tcW w:w="6620" w:type="dxa"/>
            <w:vAlign w:val="bottom"/>
          </w:tcPr>
          <w:p>
            <w:pPr>
              <w:ind w:left="40"/>
              <w:spacing w:after="0"/>
              <w:rPr>
                <w:sz w:val="20"/>
                <w:szCs w:val="20"/>
                <w:color w:val="auto"/>
              </w:rPr>
            </w:pPr>
            <w:r>
              <w:rPr>
                <w:rFonts w:ascii="Arial" w:cs="Arial" w:eastAsia="Arial" w:hAnsi="Arial"/>
                <w:sz w:val="17"/>
                <w:szCs w:val="17"/>
                <w:color w:val="auto"/>
              </w:rPr>
              <w:t>Less imputed interest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6"/>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tenant improvement receivables</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20"/>
        </w:trPr>
        <w:tc>
          <w:tcPr>
            <w:tcW w:w="6620" w:type="dxa"/>
            <w:vAlign w:val="bottom"/>
          </w:tcPr>
          <w:p>
            <w:pPr>
              <w:ind w:left="40"/>
              <w:spacing w:after="0"/>
              <w:rPr>
                <w:sz w:val="20"/>
                <w:szCs w:val="20"/>
                <w:color w:val="auto"/>
              </w:rPr>
            </w:pPr>
            <w:r>
              <w:rPr>
                <w:rFonts w:ascii="Arial" w:cs="Arial" w:eastAsia="Arial" w:hAnsi="Arial"/>
                <w:sz w:val="17"/>
                <w:szCs w:val="17"/>
                <w:color w:val="auto"/>
              </w:rPr>
              <w:t>Total liability</w:t>
            </w: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853.9</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16510</wp:posOffset>
            </wp:positionV>
            <wp:extent cx="26835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3510" cy="8255"/>
                    </a:xfrm>
                    <a:prstGeom prst="rect">
                      <a:avLst/>
                    </a:prstGeom>
                    <a:noFill/>
                  </pic:spPr>
                </pic:pic>
              </a:graphicData>
            </a:graphic>
          </wp:anchor>
        </w:drawing>
      </w:r>
    </w:p>
    <w:p>
      <w:pPr>
        <w:spacing w:after="0" w:line="11" w:lineRule="exact"/>
        <w:rPr>
          <w:sz w:val="20"/>
          <w:szCs w:val="20"/>
          <w:color w:val="auto"/>
        </w:rPr>
      </w:pPr>
    </w:p>
    <w:p>
      <w:pPr>
        <w:ind w:right="560" w:firstLine="2"/>
        <w:spacing w:after="0" w:line="279" w:lineRule="auto"/>
        <w:tabs>
          <w:tab w:leader="none" w:pos="144"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Consists of future non-cancelable minimum rental payments under operating leases for the Company’s corporate offices and datacenters where the Company has possession, excluding rent payments from the Company’s sub-tenants and variable operating expenses.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123"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81"/>
        <w:spacing w:after="0" w:line="272" w:lineRule="auto"/>
        <w:rPr>
          <w:sz w:val="20"/>
          <w:szCs w:val="20"/>
          <w:color w:val="auto"/>
        </w:rPr>
      </w:pPr>
      <w:r>
        <w:rPr>
          <w:rFonts w:ascii="Arial" w:cs="Arial" w:eastAsia="Arial" w:hAnsi="Arial"/>
          <w:sz w:val="17"/>
          <w:szCs w:val="17"/>
          <w:color w:val="auto"/>
        </w:rPr>
        <w:t>As of June 30, 2020, the Company is entitled to non-cancelable rent payments from its sub-tenants of $28.0 million, which will be collected over the next 1 to 3 years.</w:t>
      </w:r>
    </w:p>
    <w:p>
      <w:pPr>
        <w:spacing w:after="0" w:line="166" w:lineRule="exact"/>
        <w:rPr>
          <w:sz w:val="20"/>
          <w:szCs w:val="20"/>
          <w:color w:val="auto"/>
        </w:rPr>
      </w:pPr>
    </w:p>
    <w:p>
      <w:pPr>
        <w:ind w:right="140" w:firstLine="305"/>
        <w:spacing w:after="0" w:line="341" w:lineRule="auto"/>
        <w:rPr>
          <w:sz w:val="20"/>
          <w:szCs w:val="20"/>
          <w:color w:val="auto"/>
        </w:rPr>
      </w:pPr>
      <w:r>
        <w:rPr>
          <w:rFonts w:ascii="Arial" w:cs="Arial" w:eastAsia="Arial" w:hAnsi="Arial"/>
          <w:sz w:val="15"/>
          <w:szCs w:val="15"/>
          <w:color w:val="auto"/>
        </w:rPr>
        <w:t>As of June 30, 2020, the Company had commitments of $130.6 million for operating leases that have not yet commenced, and therefore are not included in the right-of-use asset or operating lease liability. These operating leases will commence between 2020 and 2021 with lease terms of 5 years to 15 years.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10.Commitments and Contingencies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Legal matters</w:t>
      </w:r>
    </w:p>
    <w:p>
      <w:pPr>
        <w:spacing w:after="0" w:line="109" w:lineRule="exact"/>
        <w:rPr>
          <w:sz w:val="20"/>
          <w:szCs w:val="20"/>
          <w:color w:val="auto"/>
        </w:rPr>
      </w:pPr>
    </w:p>
    <w:p>
      <w:pPr>
        <w:ind w:right="40" w:firstLine="457"/>
        <w:spacing w:after="0" w:line="254"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80" w:lineRule="exact"/>
        <w:rPr>
          <w:sz w:val="20"/>
          <w:szCs w:val="20"/>
          <w:color w:val="auto"/>
        </w:rPr>
      </w:pPr>
    </w:p>
    <w:p>
      <w:pPr>
        <w:ind w:firstLine="368"/>
        <w:spacing w:after="0" w:line="268" w:lineRule="auto"/>
        <w:rPr>
          <w:sz w:val="20"/>
          <w:szCs w:val="20"/>
          <w:color w:val="auto"/>
        </w:rPr>
      </w:pPr>
      <w:r>
        <w:rPr>
          <w:rFonts w:ascii="Arial" w:cs="Arial" w:eastAsia="Arial" w:hAnsi="Arial"/>
          <w:sz w:val="16"/>
          <w:szCs w:val="16"/>
          <w:color w:val="auto"/>
        </w:rPr>
        <w:t>The Company is currently involved in four putative class action lawsuits alleging violations of the federal securities laws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make the same or similar allegations of violations of federal securities laws, for allegedly making materially false and misleading statements in, or omitting material information from, the Company's IPO registration statement. The plaintiffs seek unspecified monetary damages and other relief. On March 2, 2020, the Federal Plaintiffs filed a consolidated class action complaint. On April 16, 2020, the Dropbox Defendants filed a motion to dismiss the federal consolidated class action complaint. On May 11, 2020, the Dropbox Defendants filed a motion to dismiss the consolidated state court case based on the exclusive federal forum provisions contained in the Company's amended and restated bylaws. The Company believes the cases are without merit and intends to vigorously defend them. The Company does not currently believe that this matter is likely to have a material adverse impact on its consolidated results of operations, cash flows, or financial position.</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09" w:lineRule="exact"/>
        <w:rPr>
          <w:sz w:val="20"/>
          <w:szCs w:val="20"/>
          <w:color w:val="auto"/>
        </w:rPr>
      </w:pPr>
    </w:p>
    <w:p>
      <w:pPr>
        <w:ind w:firstLine="406"/>
        <w:spacing w:after="0" w:line="261"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09" w:lineRule="exact"/>
        <w:rPr>
          <w:sz w:val="20"/>
          <w:szCs w:val="20"/>
          <w:color w:val="auto"/>
        </w:rPr>
      </w:pPr>
    </w:p>
    <w:p>
      <w:pPr>
        <w:ind w:right="180" w:firstLine="406"/>
        <w:spacing w:after="0" w:line="341" w:lineRule="auto"/>
        <w:rPr>
          <w:sz w:val="20"/>
          <w:szCs w:val="20"/>
          <w:color w:val="auto"/>
        </w:rPr>
      </w:pPr>
      <w:r>
        <w:rPr>
          <w:rFonts w:ascii="Arial" w:cs="Arial" w:eastAsia="Arial" w:hAnsi="Arial"/>
          <w:sz w:val="15"/>
          <w:szCs w:val="15"/>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00"/>
          </w:cols>
          <w:pgMar w:left="320" w:top="123" w:right="3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Accrued and Other Current Liabilities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840" w:type="dxa"/>
            <w:vAlign w:val="bottom"/>
          </w:tcPr>
          <w:p>
            <w:pPr>
              <w:ind w:left="360"/>
              <w:spacing w:after="0"/>
              <w:rPr>
                <w:sz w:val="20"/>
                <w:szCs w:val="20"/>
                <w:color w:val="auto"/>
              </w:rPr>
            </w:pPr>
            <w:r>
              <w:rPr>
                <w:rFonts w:ascii="Arial" w:cs="Arial" w:eastAsia="Arial" w:hAnsi="Arial"/>
                <w:sz w:val="17"/>
                <w:szCs w:val="17"/>
                <w:color w:val="auto"/>
              </w:rPr>
              <w:t>Accrued and other current liabilities consisted of the following:</w:t>
            </w: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558"/>
        </w:trPr>
        <w:tc>
          <w:tcPr>
            <w:tcW w:w="6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rPr>
              <w:t>As of</w:t>
            </w:r>
          </w:p>
        </w:tc>
        <w:tc>
          <w:tcPr>
            <w:tcW w:w="1880" w:type="dxa"/>
            <w:vAlign w:val="bottom"/>
          </w:tcPr>
          <w:p>
            <w:pPr>
              <w:spacing w:after="0"/>
              <w:rPr>
                <w:sz w:val="24"/>
                <w:szCs w:val="24"/>
                <w:color w:val="auto"/>
              </w:rPr>
            </w:pPr>
          </w:p>
        </w:tc>
      </w:tr>
      <w:tr>
        <w:trPr>
          <w:trHeight w:val="26"/>
        </w:trPr>
        <w:tc>
          <w:tcPr>
            <w:tcW w:w="68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0"/>
        </w:trPr>
        <w:tc>
          <w:tcPr>
            <w:tcW w:w="68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June 30, 2020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ind w:right="295"/>
              <w:spacing w:after="0"/>
              <w:rPr>
                <w:sz w:val="20"/>
                <w:szCs w:val="20"/>
                <w:color w:val="auto"/>
              </w:rPr>
            </w:pPr>
            <w:r>
              <w:rPr>
                <w:rFonts w:ascii="Arial" w:cs="Arial" w:eastAsia="Arial" w:hAnsi="Arial"/>
                <w:sz w:val="17"/>
                <w:szCs w:val="17"/>
                <w:b w:val="1"/>
                <w:bCs w:val="1"/>
                <w:color w:val="auto"/>
                <w:w w:val="96"/>
              </w:rPr>
              <w:t>December 31, 2019</w:t>
            </w:r>
          </w:p>
        </w:tc>
      </w:tr>
      <w:tr>
        <w:trPr>
          <w:trHeight w:val="26"/>
        </w:trPr>
        <w:tc>
          <w:tcPr>
            <w:tcW w:w="68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07"/>
        </w:trPr>
        <w:tc>
          <w:tcPr>
            <w:tcW w:w="68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tcPr>
          <w:p>
            <w:pPr>
              <w:spacing w:after="0"/>
              <w:rPr>
                <w:sz w:val="9"/>
                <w:szCs w:val="9"/>
                <w:color w:val="auto"/>
              </w:rPr>
            </w:pPr>
          </w:p>
        </w:tc>
      </w:tr>
      <w:tr>
        <w:trPr>
          <w:trHeight w:val="23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Non-income taxes payable</w:t>
            </w:r>
          </w:p>
        </w:tc>
        <w:tc>
          <w:tcPr>
            <w:tcW w:w="1620" w:type="dxa"/>
            <w:vAlign w:val="bottom"/>
            <w:tcBorders>
              <w:bottom w:val="single" w:sz="8" w:color="CCEEFF"/>
            </w:tcBorders>
            <w:shd w:val="clear" w:color="auto" w:fill="CCEEFF"/>
          </w:tcPr>
          <w:p>
            <w:pPr>
              <w:jc w:val="right"/>
              <w:ind w:right="1415"/>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92.2</w:t>
            </w:r>
          </w:p>
        </w:tc>
      </w:tr>
      <w:tr>
        <w:trPr>
          <w:trHeight w:val="228"/>
        </w:trPr>
        <w:tc>
          <w:tcPr>
            <w:tcW w:w="6840" w:type="dxa"/>
            <w:vAlign w:val="bottom"/>
          </w:tcPr>
          <w:p>
            <w:pPr>
              <w:ind w:left="20"/>
              <w:spacing w:after="0"/>
              <w:rPr>
                <w:sz w:val="20"/>
                <w:szCs w:val="20"/>
                <w:color w:val="auto"/>
              </w:rPr>
            </w:pPr>
            <w:r>
              <w:rPr>
                <w:rFonts w:ascii="Arial" w:cs="Arial" w:eastAsia="Arial" w:hAnsi="Arial"/>
                <w:sz w:val="17"/>
                <w:szCs w:val="17"/>
                <w:color w:val="auto"/>
              </w:rPr>
              <w:t>Accrued legal and other external fees</w:t>
            </w:r>
          </w:p>
        </w:tc>
        <w:tc>
          <w:tcPr>
            <w:tcW w:w="1620" w:type="dxa"/>
            <w:vAlign w:val="bottom"/>
          </w:tcPr>
          <w:p>
            <w:pPr>
              <w:spacing w:after="0"/>
              <w:rPr>
                <w:sz w:val="19"/>
                <w:szCs w:val="19"/>
                <w:color w:val="auto"/>
              </w:rPr>
            </w:pPr>
          </w:p>
        </w:tc>
        <w:tc>
          <w:tcPr>
            <w:tcW w:w="540" w:type="dxa"/>
            <w:vAlign w:val="bottom"/>
          </w:tcPr>
          <w:p>
            <w:pPr>
              <w:jc w:val="right"/>
              <w:ind w:right="15"/>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ind w:right="15"/>
              <w:spacing w:after="0"/>
              <w:rPr>
                <w:sz w:val="20"/>
                <w:szCs w:val="20"/>
                <w:color w:val="auto"/>
              </w:rPr>
            </w:pPr>
            <w:r>
              <w:rPr>
                <w:rFonts w:ascii="Arial" w:cs="Arial" w:eastAsia="Arial" w:hAnsi="Arial"/>
                <w:sz w:val="17"/>
                <w:szCs w:val="17"/>
                <w:color w:val="auto"/>
              </w:rPr>
              <w:t>29.2</w:t>
            </w:r>
          </w:p>
        </w:tc>
      </w:tr>
      <w:tr>
        <w:trPr>
          <w:trHeight w:val="26"/>
        </w:trPr>
        <w:tc>
          <w:tcPr>
            <w:tcW w:w="6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accrued and current liabilities</w:t>
            </w:r>
          </w:p>
        </w:tc>
        <w:tc>
          <w:tcPr>
            <w:tcW w:w="16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40.5</w:t>
            </w:r>
          </w:p>
        </w:tc>
      </w:tr>
      <w:tr>
        <w:trPr>
          <w:trHeight w:val="220"/>
        </w:trPr>
        <w:tc>
          <w:tcPr>
            <w:tcW w:w="6840" w:type="dxa"/>
            <w:vAlign w:val="bottom"/>
          </w:tcPr>
          <w:p>
            <w:pPr>
              <w:ind w:left="20"/>
              <w:spacing w:after="0"/>
              <w:rPr>
                <w:sz w:val="20"/>
                <w:szCs w:val="20"/>
                <w:color w:val="auto"/>
              </w:rPr>
            </w:pPr>
            <w:r>
              <w:rPr>
                <w:rFonts w:ascii="Arial" w:cs="Arial" w:eastAsia="Arial" w:hAnsi="Arial"/>
                <w:sz w:val="17"/>
                <w:szCs w:val="17"/>
                <w:color w:val="auto"/>
              </w:rPr>
              <w:t>Total accrued and other current liabilities</w:t>
            </w:r>
          </w:p>
        </w:tc>
        <w:tc>
          <w:tcPr>
            <w:tcW w:w="1620" w:type="dxa"/>
            <w:vAlign w:val="bottom"/>
            <w:tcBorders>
              <w:top w:val="single" w:sz="8" w:color="auto"/>
            </w:tcBorders>
          </w:tcPr>
          <w:p>
            <w:pPr>
              <w:jc w:val="right"/>
              <w:ind w:right="1415"/>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98"/>
              </w:rPr>
              <w:t>134.5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161.9</w:t>
            </w:r>
          </w:p>
        </w:tc>
      </w:tr>
      <w:tr>
        <w:trPr>
          <w:trHeight w:val="26"/>
        </w:trPr>
        <w:tc>
          <w:tcPr>
            <w:tcW w:w="68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12.Stockholders’ Equity</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Common stock</w:t>
      </w:r>
    </w:p>
    <w:p>
      <w:pPr>
        <w:spacing w:after="0" w:line="109" w:lineRule="exact"/>
        <w:rPr>
          <w:sz w:val="20"/>
          <w:szCs w:val="20"/>
          <w:color w:val="auto"/>
        </w:rPr>
      </w:pPr>
    </w:p>
    <w:p>
      <w:pPr>
        <w:ind w:right="20" w:firstLine="406"/>
        <w:spacing w:after="0" w:line="294" w:lineRule="auto"/>
        <w:rPr>
          <w:sz w:val="20"/>
          <w:szCs w:val="20"/>
          <w:color w:val="auto"/>
        </w:rPr>
      </w:pPr>
      <w:r>
        <w:rPr>
          <w:rFonts w:ascii="Arial" w:cs="Arial" w:eastAsia="Arial" w:hAnsi="Arial"/>
          <w:sz w:val="15"/>
          <w:szCs w:val="15"/>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Holders of Class B common stock voluntarily converted 53.5 million and 63.4 million shares into an equivalent number of shares of Class A common stock during the three and six months ended June 30, 2020, respectively, and 25.9 million and 37.7 million during the three and six months ended June 30, 2019, respectively.</w:t>
      </w:r>
    </w:p>
    <w:p>
      <w:pPr>
        <w:spacing w:after="0" w:line="154" w:lineRule="exact"/>
        <w:rPr>
          <w:sz w:val="20"/>
          <w:szCs w:val="20"/>
          <w:color w:val="auto"/>
        </w:rPr>
      </w:pPr>
    </w:p>
    <w:p>
      <w:pPr>
        <w:ind w:right="60" w:firstLine="406"/>
        <w:spacing w:after="0" w:line="271" w:lineRule="auto"/>
        <w:rPr>
          <w:sz w:val="20"/>
          <w:szCs w:val="20"/>
          <w:color w:val="auto"/>
        </w:rPr>
      </w:pPr>
      <w:r>
        <w:rPr>
          <w:rFonts w:ascii="Arial" w:cs="Arial" w:eastAsia="Arial" w:hAnsi="Arial"/>
          <w:sz w:val="16"/>
          <w:szCs w:val="16"/>
          <w:color w:val="auto"/>
        </w:rPr>
        <w:t>As of June 30, 2020, the Company had authorized 2,400.0 million shares of Class A common stock, 475.0 million shares of Class B common stock, and 800.0 million shares of Class C common stock, each at par value of $0.00001. As of June 30, 2020, 316.1 million shares of Class A common stock, 97.9 million shares of Class B common stock, and no shares of Class C common stock were issued and outstanding. As of December 31, 2019, 255.8 million shares of Class A common stock, 161.2 million shares of Class B common stock, and no shares of Class C common stock were issued and outstanding. Class A shares issued and outstanding as of June 30, 2020 and December 31, 2019 exclude restricted stock awards granted to certain executives during the year. Class A shares issued and outstanding also excludes 10.3 million and 14.7 million unvested restricted stock awards granted to the Company's co-founders as of June 30, 2020 and December 31, 2019, respectively. See "Co-Founder Grants" section below for further details.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Preferred stock</w:t>
      </w:r>
    </w:p>
    <w:p>
      <w:pPr>
        <w:spacing w:after="0" w:line="211" w:lineRule="exact"/>
        <w:rPr>
          <w:sz w:val="20"/>
          <w:szCs w:val="20"/>
          <w:color w:val="auto"/>
        </w:rPr>
      </w:pPr>
    </w:p>
    <w:p>
      <w:pPr>
        <w:ind w:right="600" w:firstLine="406"/>
        <w:spacing w:after="0" w:line="305" w:lineRule="auto"/>
        <w:rPr>
          <w:sz w:val="20"/>
          <w:szCs w:val="20"/>
          <w:color w:val="auto"/>
        </w:rPr>
      </w:pPr>
      <w:r>
        <w:rPr>
          <w:rFonts w:ascii="Arial" w:cs="Arial" w:eastAsia="Arial" w:hAnsi="Arial"/>
          <w:sz w:val="16"/>
          <w:szCs w:val="16"/>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211" w:lineRule="exact"/>
        <w:rPr>
          <w:sz w:val="20"/>
          <w:szCs w:val="20"/>
          <w:color w:val="auto"/>
        </w:rPr>
      </w:pPr>
    </w:p>
    <w:p>
      <w:pPr>
        <w:ind w:right="160" w:firstLine="368"/>
        <w:spacing w:after="0" w:line="257" w:lineRule="auto"/>
        <w:rPr>
          <w:sz w:val="20"/>
          <w:szCs w:val="20"/>
          <w:color w:val="auto"/>
        </w:rPr>
      </w:pPr>
      <w:r>
        <w:rPr>
          <w:rFonts w:ascii="Arial" w:cs="Arial" w:eastAsia="Arial" w:hAnsi="Arial"/>
          <w:sz w:val="17"/>
          <w:szCs w:val="17"/>
          <w:color w:val="auto"/>
        </w:rPr>
        <w:t>In February 2020, the Company's Board of Directors approved a stock repurchase program for the repurchase of up to $600 million of the Company’s outstanding shares of Class A common stock. Share repurchases will be subject to a review of the circumstances in place at that time and will be made from time to time in private transactions or open market purchases, as permitted by securities laws and other legal requirements. The program does not obligate the Company to repurchase any specific number of shares and may be discontinued at any time.</w:t>
      </w:r>
    </w:p>
    <w:p>
      <w:pPr>
        <w:spacing w:after="0" w:line="178" w:lineRule="exact"/>
        <w:rPr>
          <w:sz w:val="20"/>
          <w:szCs w:val="20"/>
          <w:color w:val="auto"/>
        </w:rPr>
      </w:pPr>
    </w:p>
    <w:p>
      <w:pPr>
        <w:ind w:right="160" w:firstLine="368"/>
        <w:spacing w:after="0" w:line="272" w:lineRule="auto"/>
        <w:rPr>
          <w:sz w:val="20"/>
          <w:szCs w:val="20"/>
          <w:color w:val="auto"/>
        </w:rPr>
      </w:pPr>
      <w:r>
        <w:rPr>
          <w:rFonts w:ascii="Arial" w:cs="Arial" w:eastAsia="Arial" w:hAnsi="Arial"/>
          <w:sz w:val="17"/>
          <w:szCs w:val="17"/>
          <w:color w:val="auto"/>
        </w:rPr>
        <w:t>During the three and six months ended June 30, 2020, the Company repurchased and subsequently retired 3.7 million and 7.4 million shares respectively of its Class A common stock for an aggregate amount of $75.8 million and $139.8 million, respectively.</w:t>
      </w:r>
    </w:p>
    <w:p>
      <w:pPr>
        <w:spacing w:after="0" w:line="36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123"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right="40" w:firstLine="406"/>
        <w:spacing w:after="0" w:line="274" w:lineRule="auto"/>
        <w:rPr>
          <w:sz w:val="20"/>
          <w:szCs w:val="20"/>
          <w:color w:val="auto"/>
        </w:rPr>
      </w:pPr>
      <w:r>
        <w:rPr>
          <w:rFonts w:ascii="Arial" w:cs="Arial" w:eastAsia="Arial" w:hAnsi="Arial"/>
          <w:sz w:val="16"/>
          <w:szCs w:val="16"/>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connection with the acquisition of HelloSign, the Company assumed unvested stock options that had been granted under HelloSign's 2011 Equity Incentive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Plan.</w:t>
      </w:r>
    </w:p>
    <w:p>
      <w:pPr>
        <w:spacing w:after="0" w:line="199" w:lineRule="exact"/>
        <w:rPr>
          <w:sz w:val="20"/>
          <w:szCs w:val="20"/>
          <w:color w:val="auto"/>
        </w:rPr>
      </w:pPr>
    </w:p>
    <w:p>
      <w:pPr>
        <w:ind w:right="320" w:firstLine="406"/>
        <w:spacing w:after="0" w:line="272" w:lineRule="auto"/>
        <w:rPr>
          <w:sz w:val="20"/>
          <w:szCs w:val="20"/>
          <w:color w:val="auto"/>
        </w:rPr>
      </w:pPr>
      <w:r>
        <w:rPr>
          <w:rFonts w:ascii="Arial" w:cs="Arial" w:eastAsia="Arial" w:hAnsi="Arial"/>
          <w:sz w:val="17"/>
          <w:szCs w:val="17"/>
          <w:color w:val="auto"/>
        </w:rPr>
        <w:t>As of June 30, 2020, there were 41.1 million stock-based awards issued and outstanding and 75.2 million shares available for issuance under the Dropbox Equity Incentive Plans and HelloSign's 2011 Equity Incentive Plan (collectively, the "Plans").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Stock option and restricted stock activity for the Plans was as follows for the six months ended June 30, 2020:</w:t>
      </w:r>
    </w:p>
    <w:p>
      <w:pPr>
        <w:spacing w:after="0" w:line="397"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4"/>
          </w:tcPr>
          <w:p>
            <w:pPr>
              <w:jc w:val="right"/>
              <w:ind w:right="441"/>
              <w:spacing w:after="0"/>
              <w:rPr>
                <w:sz w:val="20"/>
                <w:szCs w:val="20"/>
                <w:color w:val="auto"/>
              </w:rPr>
            </w:pPr>
            <w:r>
              <w:rPr>
                <w:rFonts w:ascii="Arial" w:cs="Arial" w:eastAsia="Arial" w:hAnsi="Arial"/>
                <w:sz w:val="17"/>
                <w:szCs w:val="17"/>
                <w:b w:val="1"/>
                <w:bCs w:val="1"/>
                <w:color w:val="auto"/>
              </w:rPr>
              <w:t>Restricted stock</w:t>
            </w:r>
          </w:p>
        </w:tc>
        <w:tc>
          <w:tcPr>
            <w:tcW w:w="0" w:type="dxa"/>
            <w:vAlign w:val="bottom"/>
          </w:tcPr>
          <w:p>
            <w:pPr>
              <w:spacing w:after="0"/>
              <w:rPr>
                <w:sz w:val="1"/>
                <w:szCs w:val="1"/>
                <w:color w:val="auto"/>
              </w:rPr>
            </w:pPr>
          </w:p>
        </w:tc>
      </w:tr>
      <w:tr>
        <w:trPr>
          <w:trHeight w:val="219"/>
        </w:trPr>
        <w:tc>
          <w:tcPr>
            <w:tcW w:w="2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4"/>
          </w:tcPr>
          <w:p>
            <w:pPr>
              <w:ind w:left="260"/>
              <w:spacing w:after="0"/>
              <w:rPr>
                <w:sz w:val="20"/>
                <w:szCs w:val="20"/>
                <w:color w:val="auto"/>
              </w:rPr>
            </w:pPr>
            <w:r>
              <w:rPr>
                <w:rFonts w:ascii="Arial" w:cs="Arial" w:eastAsia="Arial" w:hAnsi="Arial"/>
                <w:sz w:val="17"/>
                <w:szCs w:val="17"/>
                <w:b w:val="1"/>
                <w:bCs w:val="1"/>
                <w:color w:val="auto"/>
              </w:rPr>
              <w:t>Options outstanding</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4"/>
          </w:tcPr>
          <w:p>
            <w:pPr>
              <w:jc w:val="right"/>
              <w:ind w:right="601"/>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Number of</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Weighted-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w w:val="82"/>
              </w:rPr>
              <w:t>shares</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Weighted-</w:t>
            </w:r>
          </w:p>
        </w:tc>
        <w:tc>
          <w:tcPr>
            <w:tcW w:w="1200" w:type="dxa"/>
            <w:vAlign w:val="bottom"/>
            <w:gridSpan w:val="2"/>
          </w:tcPr>
          <w:p>
            <w:pPr>
              <w:jc w:val="center"/>
              <w:ind w:right="80"/>
              <w:spacing w:after="0"/>
              <w:rPr>
                <w:sz w:val="20"/>
                <w:szCs w:val="20"/>
                <w:color w:val="auto"/>
              </w:rPr>
            </w:pPr>
            <w:r>
              <w:rPr>
                <w:rFonts w:ascii="Arial" w:cs="Arial" w:eastAsia="Arial" w:hAnsi="Arial"/>
                <w:sz w:val="17"/>
                <w:szCs w:val="17"/>
                <w:color w:val="auto"/>
                <w:w w:val="84"/>
              </w:rPr>
              <w:t>average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1"/>
              <w:spacing w:after="0"/>
              <w:rPr>
                <w:sz w:val="20"/>
                <w:szCs w:val="20"/>
                <w:color w:val="auto"/>
              </w:rPr>
            </w:pPr>
            <w:r>
              <w:rPr>
                <w:rFonts w:ascii="Arial" w:cs="Arial" w:eastAsia="Arial" w:hAnsi="Arial"/>
                <w:sz w:val="17"/>
                <w:szCs w:val="17"/>
                <w:color w:val="auto"/>
                <w:w w:val="90"/>
              </w:rPr>
              <w:t>Weighted-</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available for</w:t>
            </w:r>
          </w:p>
        </w:tc>
        <w:tc>
          <w:tcPr>
            <w:tcW w:w="1100" w:type="dxa"/>
            <w:vAlign w:val="bottom"/>
          </w:tcPr>
          <w:p>
            <w:pPr>
              <w:jc w:val="center"/>
              <w:spacing w:after="0"/>
              <w:rPr>
                <w:sz w:val="20"/>
                <w:szCs w:val="20"/>
                <w:color w:val="auto"/>
              </w:rPr>
            </w:pPr>
            <w:r>
              <w:rPr>
                <w:rFonts w:ascii="Arial" w:cs="Arial" w:eastAsia="Arial" w:hAnsi="Arial"/>
                <w:sz w:val="17"/>
                <w:szCs w:val="17"/>
                <w:color w:val="auto"/>
                <w:w w:val="82"/>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84"/>
              </w:rPr>
              <w:t>average</w:t>
            </w:r>
          </w:p>
        </w:tc>
        <w:tc>
          <w:tcPr>
            <w:tcW w:w="120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remaining</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82"/>
              </w:rPr>
              <w:t>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1"/>
              <w:spacing w:after="0"/>
              <w:rPr>
                <w:sz w:val="20"/>
                <w:szCs w:val="20"/>
                <w:color w:val="auto"/>
              </w:rPr>
            </w:pPr>
            <w:r>
              <w:rPr>
                <w:rFonts w:ascii="Arial" w:cs="Arial" w:eastAsia="Arial" w:hAnsi="Arial"/>
                <w:sz w:val="17"/>
                <w:szCs w:val="17"/>
                <w:color w:val="auto"/>
                <w:w w:val="87"/>
              </w:rPr>
              <w:t>average</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issuance</w:t>
            </w:r>
          </w:p>
        </w:tc>
        <w:tc>
          <w:tcPr>
            <w:tcW w:w="1100" w:type="dxa"/>
            <w:vAlign w:val="bottom"/>
          </w:tcPr>
          <w:p>
            <w:pPr>
              <w:jc w:val="center"/>
              <w:spacing w:after="0"/>
              <w:rPr>
                <w:sz w:val="20"/>
                <w:szCs w:val="20"/>
                <w:color w:val="auto"/>
              </w:rPr>
            </w:pPr>
            <w:r>
              <w:rPr>
                <w:rFonts w:ascii="Arial" w:cs="Arial" w:eastAsia="Arial" w:hAnsi="Arial"/>
                <w:sz w:val="17"/>
                <w:szCs w:val="17"/>
                <w:color w:val="auto"/>
                <w:w w:val="88"/>
              </w:rPr>
              <w:t>outstanding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exercise</w:t>
            </w:r>
          </w:p>
        </w:tc>
        <w:tc>
          <w:tcPr>
            <w:tcW w:w="120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contractual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0"/>
              </w:rPr>
              <w:t>outstanding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1"/>
              <w:spacing w:after="0"/>
              <w:rPr>
                <w:sz w:val="20"/>
                <w:szCs w:val="20"/>
                <w:color w:val="auto"/>
              </w:rPr>
            </w:pPr>
            <w:r>
              <w:rPr>
                <w:rFonts w:ascii="Arial" w:cs="Arial" w:eastAsia="Arial" w:hAnsi="Arial"/>
                <w:sz w:val="17"/>
                <w:szCs w:val="17"/>
                <w:color w:val="auto"/>
                <w:w w:val="86"/>
              </w:rPr>
              <w:t>grant date</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under the</w:t>
            </w:r>
          </w:p>
        </w:tc>
        <w:tc>
          <w:tcPr>
            <w:tcW w:w="1100" w:type="dxa"/>
            <w:vAlign w:val="bottom"/>
          </w:tcPr>
          <w:p>
            <w:pPr>
              <w:jc w:val="center"/>
              <w:spacing w:after="0"/>
              <w:rPr>
                <w:sz w:val="20"/>
                <w:szCs w:val="20"/>
                <w:color w:val="auto"/>
              </w:rPr>
            </w:pPr>
            <w:r>
              <w:rPr>
                <w:rFonts w:ascii="Arial" w:cs="Arial" w:eastAsia="Arial" w:hAnsi="Arial"/>
                <w:sz w:val="17"/>
                <w:szCs w:val="17"/>
                <w:color w:val="auto"/>
                <w:w w:val="86"/>
              </w:rPr>
              <w:t>under the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price</w:t>
            </w:r>
          </w:p>
        </w:tc>
        <w:tc>
          <w:tcPr>
            <w:tcW w:w="120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term</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Aggregate</w:t>
            </w:r>
          </w:p>
        </w:tc>
        <w:tc>
          <w:tcPr>
            <w:tcW w:w="1080" w:type="dxa"/>
            <w:vAlign w:val="bottom"/>
          </w:tcPr>
          <w:p>
            <w:pPr>
              <w:jc w:val="center"/>
              <w:spacing w:after="0"/>
              <w:rPr>
                <w:sz w:val="20"/>
                <w:szCs w:val="20"/>
                <w:color w:val="auto"/>
              </w:rPr>
            </w:pPr>
            <w:r>
              <w:rPr>
                <w:rFonts w:ascii="Arial" w:cs="Arial" w:eastAsia="Arial" w:hAnsi="Arial"/>
                <w:sz w:val="17"/>
                <w:szCs w:val="17"/>
                <w:color w:val="auto"/>
                <w:w w:val="89"/>
              </w:rPr>
              <w:t>under the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1"/>
              <w:spacing w:after="0"/>
              <w:rPr>
                <w:sz w:val="20"/>
                <w:szCs w:val="20"/>
                <w:color w:val="auto"/>
              </w:rPr>
            </w:pPr>
            <w:r>
              <w:rPr>
                <w:rFonts w:ascii="Arial" w:cs="Arial" w:eastAsia="Arial" w:hAnsi="Arial"/>
                <w:sz w:val="17"/>
                <w:szCs w:val="17"/>
                <w:color w:val="auto"/>
                <w:w w:val="95"/>
              </w:rPr>
              <w:t>fair value</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Plans</w:t>
            </w: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Plans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86"/>
              </w:rPr>
              <w:t>per share</w:t>
            </w:r>
          </w:p>
        </w:tc>
        <w:tc>
          <w:tcPr>
            <w:tcW w:w="120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(In years)</w:t>
            </w:r>
          </w:p>
        </w:tc>
        <w:tc>
          <w:tcPr>
            <w:tcW w:w="1160" w:type="dxa"/>
            <w:vAlign w:val="bottom"/>
            <w:gridSpan w:val="3"/>
          </w:tcPr>
          <w:p>
            <w:pPr>
              <w:jc w:val="center"/>
              <w:ind w:right="80"/>
              <w:spacing w:after="0"/>
              <w:rPr>
                <w:sz w:val="20"/>
                <w:szCs w:val="20"/>
                <w:color w:val="auto"/>
              </w:rPr>
            </w:pPr>
            <w:r>
              <w:rPr>
                <w:rFonts w:ascii="Arial" w:cs="Arial" w:eastAsia="Arial" w:hAnsi="Arial"/>
                <w:sz w:val="17"/>
                <w:szCs w:val="17"/>
                <w:color w:val="auto"/>
                <w:w w:val="93"/>
              </w:rPr>
              <w:t>intrinsic value</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Plans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61"/>
              <w:spacing w:after="0"/>
              <w:rPr>
                <w:sz w:val="20"/>
                <w:szCs w:val="20"/>
                <w:color w:val="auto"/>
              </w:rPr>
            </w:pPr>
            <w:r>
              <w:rPr>
                <w:rFonts w:ascii="Arial" w:cs="Arial" w:eastAsia="Arial" w:hAnsi="Arial"/>
                <w:sz w:val="17"/>
                <w:szCs w:val="17"/>
                <w:color w:val="auto"/>
                <w:w w:val="86"/>
              </w:rPr>
              <w:t>per share</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December 31, 2019</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rPr>
              <w:t>66.2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rPr>
              <w:t>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rPr>
              <w:t>12.28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16.40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rPr>
              <w:t>30.7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5"/>
                <w:szCs w:val="15"/>
                <w:color w:val="auto"/>
              </w:rPr>
              <w:t>20.48</w:t>
            </w:r>
          </w:p>
        </w:tc>
        <w:tc>
          <w:tcPr>
            <w:tcW w:w="0" w:type="dxa"/>
            <w:vAlign w:val="bottom"/>
          </w:tcPr>
          <w:p>
            <w:pPr>
              <w:spacing w:after="0"/>
              <w:rPr>
                <w:sz w:val="1"/>
                <w:szCs w:val="1"/>
                <w:color w:val="auto"/>
              </w:rPr>
            </w:pPr>
          </w:p>
        </w:tc>
      </w:tr>
      <w:tr>
        <w:trPr>
          <w:trHeight w:val="228"/>
        </w:trPr>
        <w:tc>
          <w:tcPr>
            <w:tcW w:w="2500" w:type="dxa"/>
            <w:vAlign w:val="bottom"/>
          </w:tcPr>
          <w:p>
            <w:pPr>
              <w:ind w:left="40"/>
              <w:spacing w:after="0"/>
              <w:rPr>
                <w:sz w:val="20"/>
                <w:szCs w:val="20"/>
                <w:color w:val="auto"/>
              </w:rPr>
            </w:pPr>
            <w:r>
              <w:rPr>
                <w:rFonts w:ascii="Arial" w:cs="Arial" w:eastAsia="Arial" w:hAnsi="Arial"/>
                <w:sz w:val="17"/>
                <w:szCs w:val="17"/>
                <w:color w:val="auto"/>
              </w:rPr>
              <w:t>Additional shares authorized</w:t>
            </w:r>
          </w:p>
        </w:tc>
        <w:tc>
          <w:tcPr>
            <w:tcW w:w="1220" w:type="dxa"/>
            <w:vAlign w:val="bottom"/>
          </w:tcPr>
          <w:p>
            <w:pPr>
              <w:jc w:val="right"/>
              <w:ind w:right="40"/>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Options exercised and RSUs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released</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rPr>
              <w:t>4.77</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5"/>
                <w:szCs w:val="15"/>
                <w:color w:val="auto"/>
              </w:rPr>
              <w:t>20.01</w:t>
            </w:r>
          </w:p>
        </w:tc>
        <w:tc>
          <w:tcPr>
            <w:tcW w:w="0" w:type="dxa"/>
            <w:vAlign w:val="bottom"/>
          </w:tcPr>
          <w:p>
            <w:pPr>
              <w:spacing w:after="0"/>
              <w:rPr>
                <w:sz w:val="1"/>
                <w:szCs w:val="1"/>
                <w:color w:val="auto"/>
              </w:rPr>
            </w:pPr>
          </w:p>
        </w:tc>
      </w:tr>
      <w:tr>
        <w:trPr>
          <w:trHeight w:val="228"/>
        </w:trPr>
        <w:tc>
          <w:tcPr>
            <w:tcW w:w="2500" w:type="dxa"/>
            <w:vAlign w:val="bottom"/>
          </w:tcPr>
          <w:p>
            <w:pPr>
              <w:ind w:left="40"/>
              <w:spacing w:after="0"/>
              <w:rPr>
                <w:sz w:val="20"/>
                <w:szCs w:val="20"/>
                <w:color w:val="auto"/>
              </w:rPr>
            </w:pPr>
            <w:r>
              <w:rPr>
                <w:rFonts w:ascii="Arial" w:cs="Arial" w:eastAsia="Arial" w:hAnsi="Arial"/>
                <w:sz w:val="17"/>
                <w:szCs w:val="17"/>
                <w:color w:val="auto"/>
              </w:rPr>
              <w:t>Options and RSUs canceled</w:t>
            </w:r>
          </w:p>
        </w:tc>
        <w:tc>
          <w:tcPr>
            <w:tcW w:w="1220" w:type="dxa"/>
            <w:vAlign w:val="bottom"/>
          </w:tcPr>
          <w:p>
            <w:pPr>
              <w:jc w:val="right"/>
              <w:ind w:right="40"/>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5"/>
                <w:szCs w:val="15"/>
                <w:color w:val="auto"/>
              </w:rPr>
              <w:t>17.40</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5"/>
                <w:szCs w:val="15"/>
                <w:color w:val="auto"/>
              </w:rPr>
              <w:t>20.25</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Shares repurchased for tax</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withholdings on release of</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8"/>
              </w:rPr>
              <w:t>restricted stock units and awards</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5"/>
                <w:szCs w:val="15"/>
                <w:color w:val="auto"/>
              </w:rPr>
              <w:t>20.00</w:t>
            </w:r>
          </w:p>
        </w:tc>
        <w:tc>
          <w:tcPr>
            <w:tcW w:w="0" w:type="dxa"/>
            <w:vAlign w:val="bottom"/>
          </w:tcPr>
          <w:p>
            <w:pPr>
              <w:spacing w:after="0"/>
              <w:rPr>
                <w:sz w:val="1"/>
                <w:szCs w:val="1"/>
                <w:color w:val="auto"/>
              </w:rPr>
            </w:pPr>
          </w:p>
        </w:tc>
      </w:tr>
      <w:tr>
        <w:trPr>
          <w:trHeight w:val="216"/>
        </w:trPr>
        <w:tc>
          <w:tcPr>
            <w:tcW w:w="2500" w:type="dxa"/>
            <w:vAlign w:val="bottom"/>
          </w:tcPr>
          <w:p>
            <w:pPr>
              <w:ind w:left="40"/>
              <w:spacing w:after="0"/>
              <w:rPr>
                <w:sz w:val="20"/>
                <w:szCs w:val="20"/>
                <w:color w:val="auto"/>
              </w:rPr>
            </w:pPr>
            <w:r>
              <w:rPr>
                <w:rFonts w:ascii="Arial" w:cs="Arial" w:eastAsia="Arial" w:hAnsi="Arial"/>
                <w:sz w:val="17"/>
                <w:szCs w:val="17"/>
                <w:color w:val="auto"/>
              </w:rPr>
              <w:t>Restricted stock and options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40"/>
              <w:spacing w:after="0"/>
              <w:rPr>
                <w:sz w:val="20"/>
                <w:szCs w:val="20"/>
                <w:color w:val="auto"/>
              </w:rPr>
            </w:pPr>
            <w:r>
              <w:rPr>
                <w:rFonts w:ascii="Arial" w:cs="Arial" w:eastAsia="Arial" w:hAnsi="Arial"/>
                <w:sz w:val="17"/>
                <w:szCs w:val="17"/>
                <w:color w:val="auto"/>
              </w:rPr>
              <w:t>granted</w:t>
            </w:r>
          </w:p>
        </w:tc>
        <w:tc>
          <w:tcPr>
            <w:tcW w:w="1220" w:type="dxa"/>
            <w:vAlign w:val="bottom"/>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0"/>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5"/>
                <w:szCs w:val="15"/>
                <w:color w:val="auto"/>
              </w:rPr>
              <w:t>18.64</w:t>
            </w:r>
          </w:p>
        </w:tc>
        <w:tc>
          <w:tcPr>
            <w:tcW w:w="0" w:type="dxa"/>
            <w:vAlign w:val="bottom"/>
          </w:tcPr>
          <w:p>
            <w:pPr>
              <w:spacing w:after="0"/>
              <w:rPr>
                <w:sz w:val="1"/>
                <w:szCs w:val="1"/>
                <w:color w:val="auto"/>
              </w:rPr>
            </w:pPr>
          </w:p>
        </w:tc>
      </w:tr>
      <w:tr>
        <w:trPr>
          <w:trHeight w:val="26"/>
        </w:trPr>
        <w:tc>
          <w:tcPr>
            <w:tcW w:w="25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June 30, 2020</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rPr>
              <w:t>75.2</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rPr>
              <w:t>1.5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rPr>
              <w:t>13.37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12.70</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rPr>
              <w:t>39.6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5"/>
                <w:szCs w:val="15"/>
                <w:color w:val="auto"/>
              </w:rPr>
              <w:t>19.62</w:t>
            </w:r>
          </w:p>
        </w:tc>
        <w:tc>
          <w:tcPr>
            <w:tcW w:w="0" w:type="dxa"/>
            <w:vAlign w:val="bottom"/>
          </w:tcPr>
          <w:p>
            <w:pPr>
              <w:spacing w:after="0"/>
              <w:rPr>
                <w:sz w:val="1"/>
                <w:szCs w:val="1"/>
                <w:color w:val="auto"/>
              </w:rPr>
            </w:pPr>
          </w:p>
        </w:tc>
      </w:tr>
      <w:tr>
        <w:trPr>
          <w:trHeight w:val="20"/>
        </w:trPr>
        <w:tc>
          <w:tcPr>
            <w:tcW w:w="2500" w:type="dxa"/>
            <w:vAlign w:val="bottom"/>
            <w:vMerge w:val="restart"/>
          </w:tcPr>
          <w:p>
            <w:pPr>
              <w:ind w:left="40"/>
              <w:spacing w:after="0"/>
              <w:rPr>
                <w:sz w:val="20"/>
                <w:szCs w:val="20"/>
                <w:color w:val="auto"/>
              </w:rPr>
            </w:pPr>
            <w:r>
              <w:rPr>
                <w:rFonts w:ascii="Arial" w:cs="Arial" w:eastAsia="Arial" w:hAnsi="Arial"/>
                <w:sz w:val="17"/>
                <w:szCs w:val="17"/>
                <w:color w:val="auto"/>
              </w:rPr>
              <w:t>Vested at June 30, 2020</w:t>
            </w: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500" w:type="dxa"/>
            <w:vAlign w:val="bottom"/>
            <w:tcBorders>
              <w:bottom w:val="single" w:sz="8" w:color="CCEEFF"/>
            </w:tcBorders>
            <w:vMerge w:val="continue"/>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rPr>
              <w:t>1.0</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tcPr>
          <w:p>
            <w:pPr>
              <w:jc w:val="right"/>
              <w:ind w:right="40"/>
              <w:spacing w:after="0"/>
              <w:rPr>
                <w:sz w:val="20"/>
                <w:szCs w:val="20"/>
                <w:color w:val="auto"/>
              </w:rPr>
            </w:pPr>
            <w:r>
              <w:rPr>
                <w:rFonts w:ascii="Arial" w:cs="Arial" w:eastAsia="Arial" w:hAnsi="Arial"/>
                <w:sz w:val="15"/>
                <w:szCs w:val="15"/>
                <w:color w:val="auto"/>
              </w:rPr>
              <w:t>16.47</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ind w:right="40"/>
              <w:spacing w:after="0"/>
              <w:rPr>
                <w:sz w:val="20"/>
                <w:szCs w:val="20"/>
                <w:color w:val="auto"/>
              </w:rPr>
            </w:pPr>
            <w:r>
              <w:rPr>
                <w:rFonts w:ascii="Arial" w:cs="Arial" w:eastAsia="Arial" w:hAnsi="Arial"/>
                <w:sz w:val="15"/>
                <w:szCs w:val="15"/>
                <w:color w:val="auto"/>
              </w:rPr>
              <w:t>5.5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tcPr>
          <w:p>
            <w:pPr>
              <w:jc w:val="right"/>
              <w:ind w:right="23"/>
              <w:spacing w:after="0"/>
              <w:rPr>
                <w:sz w:val="20"/>
                <w:szCs w:val="20"/>
                <w:color w:val="auto"/>
              </w:rPr>
            </w:pPr>
            <w:r>
              <w:rPr>
                <w:rFonts w:ascii="Arial" w:cs="Arial" w:eastAsia="Arial" w:hAnsi="Arial"/>
                <w:sz w:val="15"/>
                <w:szCs w:val="15"/>
                <w:color w:val="auto"/>
              </w:rPr>
              <w:t>6.30</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tcPr>
          <w:p>
            <w:pPr>
              <w:jc w:val="right"/>
              <w:ind w:right="2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ind w:left="40"/>
              <w:spacing w:after="0" w:line="188" w:lineRule="exact"/>
              <w:rPr>
                <w:sz w:val="20"/>
                <w:szCs w:val="20"/>
                <w:color w:val="auto"/>
              </w:rPr>
            </w:pPr>
            <w:r>
              <w:rPr>
                <w:rFonts w:ascii="Arial" w:cs="Arial" w:eastAsia="Arial" w:hAnsi="Arial"/>
                <w:sz w:val="17"/>
                <w:szCs w:val="17"/>
                <w:color w:val="auto"/>
              </w:rPr>
              <w:t>Unvested at June 30, 2020</w:t>
            </w: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rPr>
              <w:t>0.5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rPr>
              <w:t>5.55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6.40</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rPr>
              <w:t>39.6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5"/>
                <w:szCs w:val="15"/>
                <w:color w:val="auto"/>
              </w:rPr>
              <w:t>19.62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summarizes information about the pre-tax intrinsic value of options exercised during the three and six months ended June 30, 2020 and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2019:</w:t>
      </w:r>
    </w:p>
    <w:p>
      <w:pPr>
        <w:sectPr>
          <w:pgSz w:w="11900" w:h="16838" w:orient="portrait"/>
          <w:cols w:equalWidth="0" w:num="1">
            <w:col w:w="11140"/>
          </w:cols>
          <w:pgMar w:left="320" w:top="123" w:right="439" w:bottom="1440" w:gutter="0" w:footer="0" w:header="0"/>
        </w:sectPr>
      </w:pPr>
    </w:p>
    <w:p>
      <w:pPr>
        <w:spacing w:after="0" w:line="385" w:lineRule="exact"/>
        <w:rPr>
          <w:sz w:val="20"/>
          <w:szCs w:val="20"/>
          <w:color w:val="auto"/>
        </w:rPr>
      </w:pPr>
    </w:p>
    <w:p>
      <w:pPr>
        <w:jc w:val="center"/>
        <w:ind w:left="7180"/>
        <w:spacing w:after="0"/>
        <w:rPr>
          <w:sz w:val="20"/>
          <w:szCs w:val="20"/>
          <w:color w:val="auto"/>
        </w:rPr>
      </w:pPr>
      <w:r>
        <w:rPr>
          <w:rFonts w:ascii="Arial" w:cs="Arial" w:eastAsia="Arial" w:hAnsi="Arial"/>
          <w:sz w:val="15"/>
          <w:szCs w:val="15"/>
          <w:b w:val="1"/>
          <w:bCs w:val="1"/>
          <w:color w:val="auto"/>
        </w:rPr>
        <w:t>Three Months Ended</w:t>
      </w:r>
    </w:p>
    <w:p>
      <w:pPr>
        <w:spacing w:after="0" w:line="46" w:lineRule="exact"/>
        <w:rPr>
          <w:sz w:val="20"/>
          <w:szCs w:val="20"/>
          <w:color w:val="auto"/>
        </w:rPr>
      </w:pPr>
    </w:p>
    <w:p>
      <w:pPr>
        <w:jc w:val="center"/>
        <w:ind w:left="7180"/>
        <w:spacing w:after="0"/>
        <w:rPr>
          <w:sz w:val="20"/>
          <w:szCs w:val="20"/>
          <w:color w:val="auto"/>
        </w:rPr>
      </w:pPr>
      <w:r>
        <w:rPr>
          <w:rFonts w:ascii="Arial" w:cs="Arial" w:eastAsia="Arial" w:hAnsi="Arial"/>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21590</wp:posOffset>
            </wp:positionV>
            <wp:extent cx="13779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7950" cy="8255"/>
                    </a:xfrm>
                    <a:prstGeom prst="rect">
                      <a:avLst/>
                    </a:prstGeom>
                    <a:noFill/>
                  </pic:spPr>
                </pic:pic>
              </a:graphicData>
            </a:graphic>
          </wp:anchor>
        </w:drawing>
      </w:r>
    </w:p>
    <w:p>
      <w:pPr>
        <w:spacing w:after="0" w:line="35" w:lineRule="exact"/>
        <w:rPr>
          <w:sz w:val="20"/>
          <w:szCs w:val="20"/>
          <w:color w:val="auto"/>
        </w:rPr>
      </w:pPr>
    </w:p>
    <w:p>
      <w:pPr>
        <w:ind w:left="7220"/>
        <w:spacing w:after="0"/>
        <w:tabs>
          <w:tab w:leader="none" w:pos="834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111760</wp:posOffset>
            </wp:positionV>
            <wp:extent cx="7140575" cy="161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16129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31115</wp:posOffset>
            </wp:positionV>
            <wp:extent cx="1377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79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Six Months Ended</w:t>
      </w:r>
    </w:p>
    <w:p>
      <w:pPr>
        <w:spacing w:after="0" w:line="35" w:lineRule="exact"/>
        <w:rPr>
          <w:sz w:val="20"/>
          <w:szCs w:val="20"/>
          <w:color w:val="auto"/>
        </w:rPr>
      </w:pPr>
    </w:p>
    <w:p>
      <w:pPr>
        <w:jc w:val="center"/>
        <w:ind w:right="200"/>
        <w:spacing w:after="0"/>
        <w:rPr>
          <w:sz w:val="20"/>
          <w:szCs w:val="20"/>
          <w:color w:val="auto"/>
        </w:rPr>
      </w:pPr>
      <w:r>
        <w:rPr>
          <w:rFonts w:ascii="Arial" w:cs="Arial" w:eastAsia="Arial" w:hAnsi="Arial"/>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21590</wp:posOffset>
            </wp:positionV>
            <wp:extent cx="1337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35"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2020</w:t>
      </w:r>
      <w:r>
        <w:rPr>
          <w:sz w:val="20"/>
          <w:szCs w:val="20"/>
          <w:color w:val="auto"/>
        </w:rPr>
        <w:tab/>
      </w:r>
      <w:r>
        <w:rPr>
          <w:rFonts w:ascii="Arial" w:cs="Arial" w:eastAsia="Arial" w:hAnsi="Arial"/>
          <w:sz w:val="15"/>
          <w:szCs w:val="15"/>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45720</wp:posOffset>
            </wp:positionV>
            <wp:extent cx="1337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760" w:space="720"/>
            <w:col w:w="1660"/>
          </w:cols>
          <w:pgMar w:left="320" w:top="123" w:right="439" w:bottom="1440" w:gutter="0" w:footer="0" w:header="0"/>
          <w:type w:val="continuous"/>
        </w:sectPr>
      </w:pPr>
    </w:p>
    <w:p>
      <w:pPr>
        <w:ind w:left="20"/>
        <w:spacing w:after="0"/>
        <w:tabs>
          <w:tab w:leader="none" w:pos="6880" w:val="left"/>
          <w:tab w:leader="none" w:pos="7560" w:val="left"/>
          <w:tab w:leader="none" w:pos="8020" w:val="left"/>
          <w:tab w:leader="none" w:pos="8700" w:val="left"/>
          <w:tab w:leader="none" w:pos="9140" w:val="left"/>
          <w:tab w:leader="none" w:pos="9800" w:val="left"/>
          <w:tab w:leader="none" w:pos="10240" w:val="left"/>
          <w:tab w:leader="none" w:pos="10920" w:val="left"/>
        </w:tabs>
        <w:rPr>
          <w:sz w:val="20"/>
          <w:szCs w:val="20"/>
          <w:color w:val="auto"/>
        </w:rPr>
      </w:pPr>
      <w:r>
        <w:rPr>
          <w:rFonts w:ascii="Arial" w:cs="Arial" w:eastAsia="Arial" w:hAnsi="Arial"/>
          <w:sz w:val="17"/>
          <w:szCs w:val="17"/>
          <w:color w:val="auto"/>
        </w:rPr>
        <w:t>Intrinsic value of options exercised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3.0</w:t>
        <w:tab/>
        <w:t>$</w:t>
      </w:r>
      <w:r>
        <w:rPr>
          <w:sz w:val="20"/>
          <w:szCs w:val="20"/>
          <w:color w:val="auto"/>
        </w:rPr>
        <w:tab/>
      </w:r>
      <w:r>
        <w:rPr>
          <w:rFonts w:ascii="Arial" w:cs="Arial" w:eastAsia="Arial" w:hAnsi="Arial"/>
          <w:sz w:val="17"/>
          <w:szCs w:val="17"/>
          <w:color w:val="auto"/>
        </w:rPr>
        <w:t>1.4</w:t>
        <w:tab/>
        <w:t>$</w:t>
      </w:r>
      <w:r>
        <w:rPr>
          <w:sz w:val="20"/>
          <w:szCs w:val="20"/>
          <w:color w:val="auto"/>
        </w:rPr>
        <w:tab/>
      </w:r>
      <w:r>
        <w:rPr>
          <w:rFonts w:ascii="Arial" w:cs="Arial" w:eastAsia="Arial" w:hAnsi="Arial"/>
          <w:sz w:val="17"/>
          <w:szCs w:val="17"/>
          <w:color w:val="auto"/>
        </w:rPr>
        <w:t>4.8</w:t>
        <w:tab/>
        <w:t>$</w:t>
      </w:r>
      <w:r>
        <w:rPr>
          <w:sz w:val="20"/>
          <w:szCs w:val="20"/>
          <w:color w:val="auto"/>
        </w:rPr>
        <w:tab/>
      </w:r>
      <w:r>
        <w:rPr>
          <w:rFonts w:ascii="Arial" w:cs="Arial" w:eastAsia="Arial" w:hAnsi="Arial"/>
          <w:sz w:val="14"/>
          <w:szCs w:val="14"/>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140"/>
          </w:cols>
          <w:pgMar w:left="320" w:top="123" w:right="439" w:bottom="1440" w:gutter="0" w:footer="0" w:header="0"/>
          <w:type w:val="continuous"/>
        </w:sectPr>
      </w:pPr>
    </w:p>
    <w:bookmarkStart w:id="28" w:name="page29"/>
    <w:bookmarkEnd w:id="2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right="60" w:firstLine="406"/>
        <w:spacing w:after="0" w:line="261" w:lineRule="auto"/>
        <w:rPr>
          <w:sz w:val="20"/>
          <w:szCs w:val="20"/>
          <w:color w:val="auto"/>
        </w:rPr>
      </w:pPr>
      <w:r>
        <w:rPr>
          <w:rFonts w:ascii="Arial" w:cs="Arial" w:eastAsia="Arial" w:hAnsi="Arial"/>
          <w:sz w:val="17"/>
          <w:szCs w:val="17"/>
          <w:color w:val="auto"/>
        </w:rPr>
        <w:t>As of June 30, 2020, unamortized stock-based compensation related to unvested stock options, restricted stock awards (excluding the Co-Founder Grants), and RSUs was $741.1 million. The weighted-average period over which such compensation expense will be recognized if the requisite service is provided is approximately 3 years as of June 30, 2020.</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Assumed stock options</w:t>
      </w:r>
    </w:p>
    <w:p>
      <w:pPr>
        <w:spacing w:after="0" w:line="109" w:lineRule="exact"/>
        <w:rPr>
          <w:sz w:val="20"/>
          <w:szCs w:val="20"/>
          <w:color w:val="auto"/>
        </w:rPr>
      </w:pPr>
    </w:p>
    <w:p>
      <w:pPr>
        <w:ind w:right="120" w:firstLine="406"/>
        <w:spacing w:after="0" w:line="272" w:lineRule="auto"/>
        <w:rPr>
          <w:sz w:val="20"/>
          <w:szCs w:val="20"/>
          <w:color w:val="auto"/>
        </w:rPr>
      </w:pPr>
      <w:r>
        <w:rPr>
          <w:rFonts w:ascii="Arial" w:cs="Arial" w:eastAsia="Arial" w:hAnsi="Arial"/>
          <w:sz w:val="17"/>
          <w:szCs w:val="17"/>
          <w:color w:val="auto"/>
        </w:rPr>
        <w:t>In connection with the acquisition of HelloSign the Company assumed 0.9 million unvested stock options which were valued using the Black-Scholes option-pricing model. The fair value of stock options assumed were estimated using the following assumptions:</w:t>
      </w:r>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254"/>
        </w:trPr>
        <w:tc>
          <w:tcPr>
            <w:tcW w:w="5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Expected volatility</w:t>
            </w:r>
          </w:p>
        </w:tc>
        <w:tc>
          <w:tcPr>
            <w:tcW w:w="5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r>
      <w:tr>
        <w:trPr>
          <w:trHeight w:val="228"/>
        </w:trPr>
        <w:tc>
          <w:tcPr>
            <w:tcW w:w="5680" w:type="dxa"/>
            <w:vAlign w:val="bottom"/>
          </w:tcPr>
          <w:p>
            <w:pPr>
              <w:ind w:left="40"/>
              <w:spacing w:after="0"/>
              <w:rPr>
                <w:sz w:val="20"/>
                <w:szCs w:val="20"/>
                <w:color w:val="auto"/>
              </w:rPr>
            </w:pPr>
            <w:r>
              <w:rPr>
                <w:rFonts w:ascii="Arial" w:cs="Arial" w:eastAsia="Arial" w:hAnsi="Arial"/>
                <w:sz w:val="17"/>
                <w:szCs w:val="17"/>
                <w:color w:val="auto"/>
              </w:rPr>
              <w:t>Expected term (in years)</w:t>
            </w:r>
          </w:p>
        </w:tc>
        <w:tc>
          <w:tcPr>
            <w:tcW w:w="5160" w:type="dxa"/>
            <w:vAlign w:val="bottom"/>
          </w:tcPr>
          <w:p>
            <w:pPr>
              <w:jc w:val="right"/>
              <w:ind w:right="95"/>
              <w:spacing w:after="0"/>
              <w:rPr>
                <w:sz w:val="20"/>
                <w:szCs w:val="20"/>
                <w:color w:val="auto"/>
              </w:rPr>
            </w:pPr>
            <w:r>
              <w:rPr>
                <w:rFonts w:ascii="Arial" w:cs="Arial" w:eastAsia="Arial" w:hAnsi="Arial"/>
                <w:sz w:val="17"/>
                <w:szCs w:val="17"/>
                <w:color w:val="auto"/>
              </w:rPr>
              <w:t>3.4 - 7.0</w:t>
            </w:r>
          </w:p>
        </w:tc>
      </w:tr>
      <w:tr>
        <w:trPr>
          <w:trHeight w:val="26"/>
        </w:trPr>
        <w:tc>
          <w:tcPr>
            <w:tcW w:w="568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Risk-free interest rate</w:t>
            </w:r>
          </w:p>
        </w:tc>
        <w:tc>
          <w:tcPr>
            <w:tcW w:w="5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2.42% - 2.51%</w:t>
            </w:r>
          </w:p>
        </w:tc>
      </w:tr>
      <w:tr>
        <w:trPr>
          <w:trHeight w:val="228"/>
        </w:trPr>
        <w:tc>
          <w:tcPr>
            <w:tcW w:w="5680" w:type="dxa"/>
            <w:vAlign w:val="bottom"/>
          </w:tcPr>
          <w:p>
            <w:pPr>
              <w:ind w:left="40"/>
              <w:spacing w:after="0"/>
              <w:rPr>
                <w:sz w:val="20"/>
                <w:szCs w:val="20"/>
                <w:color w:val="auto"/>
              </w:rPr>
            </w:pPr>
            <w:r>
              <w:rPr>
                <w:rFonts w:ascii="Arial" w:cs="Arial" w:eastAsia="Arial" w:hAnsi="Arial"/>
                <w:sz w:val="17"/>
                <w:szCs w:val="17"/>
                <w:color w:val="auto"/>
              </w:rPr>
              <w:t>Dividend yield</w:t>
            </w:r>
          </w:p>
        </w:tc>
        <w:tc>
          <w:tcPr>
            <w:tcW w:w="51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20" w:lineRule="exact"/>
        <w:rPr>
          <w:sz w:val="20"/>
          <w:szCs w:val="20"/>
          <w:color w:val="auto"/>
        </w:rPr>
      </w:pPr>
    </w:p>
    <w:p>
      <w:pPr>
        <w:ind w:right="500" w:firstLine="406"/>
        <w:spacing w:after="0" w:line="256"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is based on the Company's historical volatility. Management believes this is the best estimate of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over the expected life of its stock options.</w:t>
      </w:r>
    </w:p>
    <w:p>
      <w:pPr>
        <w:spacing w:after="0" w:line="1" w:lineRule="exact"/>
        <w:rPr>
          <w:sz w:val="20"/>
          <w:szCs w:val="20"/>
          <w:color w:val="auto"/>
        </w:rPr>
      </w:pPr>
    </w:p>
    <w:p>
      <w:pPr>
        <w:ind w:right="520" w:firstLine="406"/>
        <w:spacing w:after="0" w:line="277"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determines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64" w:lineRule="exact"/>
        <w:rPr>
          <w:sz w:val="20"/>
          <w:szCs w:val="20"/>
          <w:color w:val="auto"/>
        </w:rPr>
      </w:pPr>
    </w:p>
    <w:p>
      <w:pPr>
        <w:ind w:right="860" w:firstLine="406"/>
        <w:spacing w:after="0" w:line="272"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security in effect at the time the options were assumed for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 zero.</w:t>
      </w:r>
    </w:p>
    <w:p>
      <w:pPr>
        <w:spacing w:after="0" w:line="234" w:lineRule="exact"/>
        <w:rPr>
          <w:sz w:val="20"/>
          <w:szCs w:val="20"/>
          <w:color w:val="auto"/>
        </w:rPr>
      </w:pPr>
    </w:p>
    <w:p>
      <w:pPr>
        <w:ind w:right="340" w:firstLine="406"/>
        <w:spacing w:after="0" w:line="272" w:lineRule="auto"/>
        <w:rPr>
          <w:sz w:val="20"/>
          <w:szCs w:val="20"/>
          <w:color w:val="auto"/>
        </w:rPr>
      </w:pPr>
      <w:r>
        <w:rPr>
          <w:rFonts w:ascii="Arial" w:cs="Arial" w:eastAsia="Arial" w:hAnsi="Arial"/>
          <w:sz w:val="17"/>
          <w:szCs w:val="17"/>
          <w:color w:val="auto"/>
        </w:rPr>
        <w:t>The estimated weighted-average grant date fair value for stock options assumed was $21.60 per share and total fair value of $19.4 million, of which, $18.6 million will be recognized as post-combination stock-based compensation expense.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Co-Founder Grants</w:t>
      </w:r>
    </w:p>
    <w:p>
      <w:pPr>
        <w:spacing w:after="0" w:line="109" w:lineRule="exact"/>
        <w:rPr>
          <w:sz w:val="20"/>
          <w:szCs w:val="20"/>
          <w:color w:val="auto"/>
        </w:rPr>
      </w:pPr>
    </w:p>
    <w:p>
      <w:pPr>
        <w:ind w:right="120" w:firstLine="406"/>
        <w:spacing w:after="0" w:line="270"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a former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income (loss) per share attributable to common stockholders in Note 13, "Net Income (Loss) Per Share", as the right to the cumulative declared dividends is forfeitable if the service condition is not met.</w:t>
      </w:r>
    </w:p>
    <w:p>
      <w:pPr>
        <w:spacing w:after="0" w:line="172" w:lineRule="exact"/>
        <w:rPr>
          <w:sz w:val="20"/>
          <w:szCs w:val="20"/>
          <w:color w:val="auto"/>
        </w:rPr>
      </w:pPr>
    </w:p>
    <w:p>
      <w:pPr>
        <w:ind w:firstLine="406"/>
        <w:spacing w:after="0" w:line="257" w:lineRule="auto"/>
        <w:rPr>
          <w:sz w:val="20"/>
          <w:szCs w:val="20"/>
          <w:color w:val="auto"/>
        </w:rPr>
      </w:pPr>
      <w:r>
        <w:rPr>
          <w:rFonts w:ascii="Arial" w:cs="Arial" w:eastAsia="Arial" w:hAnsi="Arial"/>
          <w:sz w:val="17"/>
          <w:szCs w:val="17"/>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178" w:lineRule="exact"/>
        <w:rPr>
          <w:sz w:val="20"/>
          <w:szCs w:val="20"/>
          <w:color w:val="auto"/>
        </w:rPr>
      </w:pPr>
    </w:p>
    <w:p>
      <w:pPr>
        <w:ind w:right="500" w:firstLine="406"/>
        <w:spacing w:after="0" w:line="305" w:lineRule="auto"/>
        <w:rPr>
          <w:sz w:val="20"/>
          <w:szCs w:val="20"/>
          <w:color w:val="auto"/>
        </w:rPr>
      </w:pPr>
      <w:r>
        <w:rPr>
          <w:rFonts w:ascii="Arial" w:cs="Arial" w:eastAsia="Arial" w:hAnsi="Arial"/>
          <w:sz w:val="16"/>
          <w:szCs w:val="16"/>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20"/>
          </w:cols>
          <w:pgMar w:left="320" w:top="123" w:right="3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right="40" w:firstLine="406"/>
        <w:spacing w:after="0" w:line="269" w:lineRule="auto"/>
        <w:rPr>
          <w:sz w:val="20"/>
          <w:szCs w:val="20"/>
          <w:color w:val="auto"/>
        </w:rPr>
      </w:pPr>
      <w:r>
        <w:rPr>
          <w:rFonts w:ascii="Arial" w:cs="Arial" w:eastAsia="Arial" w:hAnsi="Arial"/>
          <w:sz w:val="16"/>
          <w:szCs w:val="16"/>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As of the valuation date, the Company expected to recognize an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72" w:lineRule="exact"/>
        <w:rPr>
          <w:sz w:val="20"/>
          <w:szCs w:val="20"/>
          <w:color w:val="auto"/>
        </w:rPr>
      </w:pPr>
    </w:p>
    <w:p>
      <w:pPr>
        <w:ind w:right="160" w:firstLine="406"/>
        <w:spacing w:after="0" w:line="272" w:lineRule="auto"/>
        <w:rPr>
          <w:sz w:val="20"/>
          <w:szCs w:val="20"/>
          <w:color w:val="auto"/>
        </w:rPr>
      </w:pPr>
      <w:r>
        <w:rPr>
          <w:rFonts w:ascii="Arial" w:cs="Arial" w:eastAsia="Arial" w:hAnsi="Arial"/>
          <w:sz w:val="17"/>
          <w:szCs w:val="17"/>
          <w:color w:val="auto"/>
        </w:rPr>
        <w:t>The Performance Vesting Condition for the Co-Founder Grants was satisfied on the date the Company’s shares of Class A common stock commenced trading on the Nasdaq Global Select Market in connection with the Company’s IPO, which was March 23, 2018.</w:t>
      </w:r>
    </w:p>
    <w:p>
      <w:pPr>
        <w:spacing w:after="0" w:line="166" w:lineRule="exact"/>
        <w:rPr>
          <w:sz w:val="20"/>
          <w:szCs w:val="20"/>
          <w:color w:val="auto"/>
        </w:rPr>
      </w:pPr>
    </w:p>
    <w:p>
      <w:pPr>
        <w:ind w:right="140" w:firstLine="406"/>
        <w:spacing w:after="0" w:line="255" w:lineRule="auto"/>
        <w:rPr>
          <w:sz w:val="20"/>
          <w:szCs w:val="20"/>
          <w:color w:val="auto"/>
        </w:rPr>
      </w:pPr>
      <w:r>
        <w:rPr>
          <w:rFonts w:ascii="Arial" w:cs="Arial" w:eastAsia="Arial" w:hAnsi="Arial"/>
          <w:sz w:val="17"/>
          <w:szCs w:val="17"/>
          <w:color w:val="auto"/>
        </w:rPr>
        <w:t>In March 2020, one of the Company's co-founders, Mr. Ferdowsi, resigned as a member of the Board of Directors and as an officer of the Company. As of the date of Mr. Ferdowsi’s resignation, none of the Stock Price Targets had been met, resulting in the forfeiture of his 4.4 million RSAs. As he did not provide the requisite service associated with the Co-Founder Grants, the Company reversed all stock-based compensation expense that had been recognized from the grant date through March 19, 2020, which totaled $23.8 million, of which $21.5 million related to expense recognized prior to December 31, 2019, and ceased recognizing further expense related to the award.</w:t>
      </w:r>
    </w:p>
    <w:p>
      <w:pPr>
        <w:spacing w:after="0" w:line="180" w:lineRule="exact"/>
        <w:rPr>
          <w:sz w:val="20"/>
          <w:szCs w:val="20"/>
          <w:color w:val="auto"/>
        </w:rPr>
      </w:pPr>
    </w:p>
    <w:p>
      <w:pPr>
        <w:ind w:firstLine="406"/>
        <w:spacing w:after="0" w:line="261" w:lineRule="auto"/>
        <w:rPr>
          <w:sz w:val="20"/>
          <w:szCs w:val="20"/>
          <w:color w:val="auto"/>
        </w:rPr>
      </w:pPr>
      <w:r>
        <w:rPr>
          <w:rFonts w:ascii="Arial" w:cs="Arial" w:eastAsia="Arial" w:hAnsi="Arial"/>
          <w:sz w:val="17"/>
          <w:szCs w:val="17"/>
          <w:color w:val="auto"/>
        </w:rPr>
        <w:t>The Company recognized stock-based compensation expense related to the Co-Founder Grant of $6.1 million and $12.2 million during the three and six months ended June 30, 2020, respectively, and $8.7 million and $17.3 million during the three and six months ended June 30, 2019, respectively. As of June 30, 2020, unamortized stock-based compensation expense related to the Co-Founder Grants was $46.8 million.</w:t>
      </w:r>
    </w:p>
    <w:p>
      <w:pPr>
        <w:spacing w:after="0" w:line="374"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Net Income (Loss) Per Share</w:t>
      </w:r>
    </w:p>
    <w:p>
      <w:pPr>
        <w:spacing w:after="0" w:line="215" w:lineRule="exact"/>
        <w:rPr>
          <w:sz w:val="20"/>
          <w:szCs w:val="20"/>
          <w:color w:val="auto"/>
        </w:rPr>
      </w:pPr>
    </w:p>
    <w:p>
      <w:pPr>
        <w:ind w:right="40" w:firstLine="406"/>
        <w:spacing w:after="0" w:line="284" w:lineRule="auto"/>
        <w:rPr>
          <w:sz w:val="20"/>
          <w:szCs w:val="20"/>
          <w:color w:val="auto"/>
        </w:rPr>
      </w:pPr>
      <w:r>
        <w:rPr>
          <w:rFonts w:ascii="Arial" w:cs="Arial" w:eastAsia="Arial" w:hAnsi="Arial"/>
          <w:sz w:val="16"/>
          <w:szCs w:val="16"/>
          <w:color w:val="auto"/>
        </w:rPr>
        <w:t>The Company computes net income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59" w:lineRule="exact"/>
        <w:rPr>
          <w:sz w:val="20"/>
          <w:szCs w:val="20"/>
          <w:color w:val="auto"/>
        </w:rPr>
      </w:pPr>
    </w:p>
    <w:p>
      <w:pPr>
        <w:ind w:right="260" w:firstLine="406"/>
        <w:spacing w:after="0" w:line="272" w:lineRule="auto"/>
        <w:rPr>
          <w:sz w:val="20"/>
          <w:szCs w:val="20"/>
          <w:color w:val="auto"/>
        </w:rPr>
      </w:pPr>
      <w:r>
        <w:rPr>
          <w:rFonts w:ascii="Arial" w:cs="Arial" w:eastAsia="Arial" w:hAnsi="Arial"/>
          <w:sz w:val="17"/>
          <w:szCs w:val="17"/>
          <w:color w:val="auto"/>
        </w:rPr>
        <w:t>Basic net income (loss) per share is computed by dividing net income attributable to common stockholders by the weighted-average number of shares of the Class A and Class B common stock outstanding.</w:t>
      </w:r>
    </w:p>
    <w:p>
      <w:pPr>
        <w:spacing w:after="0" w:line="166" w:lineRule="exact"/>
        <w:rPr>
          <w:sz w:val="20"/>
          <w:szCs w:val="20"/>
          <w:color w:val="auto"/>
        </w:rPr>
      </w:pPr>
    </w:p>
    <w:p>
      <w:pPr>
        <w:ind w:right="200" w:firstLine="381"/>
        <w:spacing w:after="0" w:line="255" w:lineRule="auto"/>
        <w:rPr>
          <w:sz w:val="20"/>
          <w:szCs w:val="20"/>
          <w:color w:val="auto"/>
        </w:rPr>
      </w:pPr>
      <w:r>
        <w:rPr>
          <w:rFonts w:ascii="Arial" w:cs="Arial" w:eastAsia="Arial" w:hAnsi="Arial"/>
          <w:sz w:val="17"/>
          <w:szCs w:val="17"/>
          <w:color w:val="auto"/>
        </w:rPr>
        <w:t>Diluted net income (loss) per share is computed by dividing net income attributable to common stockholders by the weighted-average number of diluted common shares outstanding. The computation of the diluted net income (loss) per share of Class A common stock assumes the conversion of our Class B common stock to Class A common stock, while the diluted net income (loss per share) of Class B common stock does not assume the conversion of those shares to Class A common stock. Diluted loss per share for the three and six months ended June 30, 2019 is the same as basic loss per share as there was a net loss for the period and inclusion of potentially issuable shares is anti-dilutive.</w:t>
      </w:r>
    </w:p>
    <w:p>
      <w:pPr>
        <w:spacing w:after="0" w:line="180" w:lineRule="exact"/>
        <w:rPr>
          <w:sz w:val="20"/>
          <w:szCs w:val="20"/>
          <w:color w:val="auto"/>
        </w:rPr>
      </w:pPr>
    </w:p>
    <w:p>
      <w:pPr>
        <w:ind w:right="140" w:firstLine="381"/>
        <w:spacing w:after="0" w:line="272" w:lineRule="auto"/>
        <w:rPr>
          <w:sz w:val="20"/>
          <w:szCs w:val="20"/>
          <w:color w:val="auto"/>
        </w:rPr>
      </w:pPr>
      <w:r>
        <w:rPr>
          <w:rFonts w:ascii="Arial" w:cs="Arial" w:eastAsia="Arial" w:hAnsi="Arial"/>
          <w:sz w:val="17"/>
          <w:szCs w:val="17"/>
          <w:color w:val="auto"/>
        </w:rPr>
        <w:t>The numerators and denominators of the basic and diluted EPS computations for our common stock are calculated as follows (in millions, except for per share amounts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23"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6"/>
          </w:tcPr>
          <w:p>
            <w:pPr>
              <w:ind w:left="60"/>
              <w:spacing w:after="0"/>
              <w:rPr>
                <w:sz w:val="20"/>
                <w:szCs w:val="20"/>
                <w:color w:val="auto"/>
              </w:rPr>
            </w:pPr>
            <w:r>
              <w:rPr>
                <w:rFonts w:ascii="Arial" w:cs="Arial" w:eastAsia="Arial" w:hAnsi="Arial"/>
                <w:sz w:val="17"/>
                <w:szCs w:val="17"/>
                <w:b w:val="1"/>
                <w:bCs w:val="1"/>
                <w:color w:val="auto"/>
                <w:w w:val="94"/>
              </w:rPr>
              <w:t>Three months ended June 30,</w:t>
            </w:r>
          </w:p>
        </w:tc>
        <w:tc>
          <w:tcPr>
            <w:tcW w:w="2320" w:type="dxa"/>
            <w:vAlign w:val="bottom"/>
            <w:gridSpan w:val="5"/>
          </w:tcPr>
          <w:p>
            <w:pPr>
              <w:jc w:val="right"/>
              <w:spacing w:after="0"/>
              <w:rPr>
                <w:sz w:val="20"/>
                <w:szCs w:val="20"/>
                <w:color w:val="auto"/>
              </w:rPr>
            </w:pPr>
            <w:r>
              <w:rPr>
                <w:rFonts w:ascii="Arial" w:cs="Arial" w:eastAsia="Arial" w:hAnsi="Arial"/>
                <w:sz w:val="17"/>
                <w:szCs w:val="17"/>
                <w:b w:val="1"/>
                <w:bCs w:val="1"/>
                <w:color w:val="auto"/>
                <w:w w:val="92"/>
              </w:rPr>
              <w:t>Three months ended June 30,</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w w:val="89"/>
              </w:rPr>
              <w:t>2020</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Class A</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Class B</w:t>
            </w:r>
          </w:p>
        </w:tc>
        <w:tc>
          <w:tcPr>
            <w:tcW w:w="20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7"/>
                <w:szCs w:val="17"/>
                <w:color w:val="auto"/>
              </w:rPr>
              <w:t>Class A</w:t>
            </w:r>
          </w:p>
        </w:tc>
        <w:tc>
          <w:tcPr>
            <w:tcW w:w="22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color w:val="auto"/>
                <w:w w:val="98"/>
              </w:rPr>
              <w:t>Class B</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6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(loss)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0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(loss) attributable to common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Weighted-average number of common shares outstanding used in computing basic net</w:t>
            </w:r>
          </w:p>
        </w:tc>
        <w:tc>
          <w:tcPr>
            <w:tcW w:w="1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132.7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231.1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181.3</w:t>
            </w:r>
          </w:p>
        </w:tc>
        <w:tc>
          <w:tcPr>
            <w:tcW w:w="0" w:type="dxa"/>
            <w:vAlign w:val="bottom"/>
          </w:tcPr>
          <w:p>
            <w:pPr>
              <w:spacing w:after="0"/>
              <w:rPr>
                <w:sz w:val="1"/>
                <w:szCs w:val="1"/>
                <w:color w:val="auto"/>
              </w:rPr>
            </w:pPr>
          </w:p>
        </w:tc>
      </w:tr>
      <w:tr>
        <w:trPr>
          <w:trHeight w:val="221"/>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income (loss) per share</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Arial" w:cs="Arial" w:eastAsia="Arial" w:hAnsi="Arial"/>
                <w:sz w:val="17"/>
                <w:szCs w:val="17"/>
                <w:color w:val="auto"/>
              </w:rPr>
              <w:t>Net income (loss) per common share, basic</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4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0.04</w:t>
            </w:r>
          </w:p>
        </w:tc>
        <w:tc>
          <w:tcPr>
            <w:tcW w:w="4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0.04</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8"/>
                <w:szCs w:val="18"/>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net income (loss)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0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(loss) attributable to common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28"/>
        </w:trPr>
        <w:tc>
          <w:tcPr>
            <w:tcW w:w="6400" w:type="dxa"/>
            <w:vAlign w:val="bottom"/>
          </w:tcPr>
          <w:p>
            <w:pPr>
              <w:ind w:left="140"/>
              <w:spacing w:after="0"/>
              <w:rPr>
                <w:sz w:val="20"/>
                <w:szCs w:val="20"/>
                <w:color w:val="auto"/>
              </w:rPr>
            </w:pPr>
            <w:r>
              <w:rPr>
                <w:rFonts w:ascii="Arial" w:cs="Arial" w:eastAsia="Arial" w:hAnsi="Arial"/>
                <w:sz w:val="17"/>
                <w:szCs w:val="17"/>
                <w:color w:val="auto"/>
                <w:w w:val="93"/>
              </w:rPr>
              <w:t>Reallocation of net income as a result of conversion of Class B to Class A common stock</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Reallocation of net income to Class B common stock</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(loss) attributable to common stockholders for diluted EPS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4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17.5</w:t>
            </w:r>
          </w:p>
        </w:tc>
        <w:tc>
          <w:tcPr>
            <w:tcW w:w="4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7"/>
                <w:szCs w:val="17"/>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7"/>
                <w:szCs w:val="17"/>
                <w:color w:val="auto"/>
                <w:w w:val="95"/>
              </w:rPr>
              <w:t>Weighted-average number of common shares outstanding used in computing basic net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140"/>
              <w:spacing w:after="0"/>
              <w:rPr>
                <w:sz w:val="20"/>
                <w:szCs w:val="20"/>
                <w:color w:val="auto"/>
              </w:rPr>
            </w:pPr>
            <w:r>
              <w:rPr>
                <w:rFonts w:ascii="Arial" w:cs="Arial" w:eastAsia="Arial" w:hAnsi="Arial"/>
                <w:sz w:val="17"/>
                <w:szCs w:val="17"/>
                <w:color w:val="auto"/>
              </w:rPr>
              <w:t>income (loss) per share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132.7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231.1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181.3</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Weighted-average effect of dilutive RSUs and employee stock options</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6400" w:type="dxa"/>
            <w:vAlign w:val="bottom"/>
          </w:tcPr>
          <w:p>
            <w:pPr>
              <w:ind w:left="140"/>
              <w:spacing w:after="0"/>
              <w:rPr>
                <w:sz w:val="20"/>
                <w:szCs w:val="20"/>
                <w:color w:val="auto"/>
              </w:rPr>
            </w:pPr>
            <w:r>
              <w:rPr>
                <w:rFonts w:ascii="Arial" w:cs="Arial" w:eastAsia="Arial" w:hAnsi="Arial"/>
                <w:sz w:val="17"/>
                <w:szCs w:val="17"/>
                <w:color w:val="auto"/>
              </w:rPr>
              <w:t>Conversion of Class B to Class A common stock</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Weighted-average number of common shares outstanding used in computed diluted net</w:t>
            </w:r>
          </w:p>
        </w:tc>
        <w:tc>
          <w:tcPr>
            <w:tcW w:w="1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133.0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231.1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181.3</w:t>
            </w:r>
          </w:p>
        </w:tc>
        <w:tc>
          <w:tcPr>
            <w:tcW w:w="0" w:type="dxa"/>
            <w:vAlign w:val="bottom"/>
          </w:tcPr>
          <w:p>
            <w:pPr>
              <w:spacing w:after="0"/>
              <w:rPr>
                <w:sz w:val="1"/>
                <w:szCs w:val="1"/>
                <w:color w:val="auto"/>
              </w:rPr>
            </w:pPr>
          </w:p>
        </w:tc>
      </w:tr>
      <w:tr>
        <w:trPr>
          <w:trHeight w:val="221"/>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income (loss) per share</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7"/>
                <w:szCs w:val="17"/>
                <w:color w:val="auto"/>
              </w:rPr>
              <w:t>Net income (loss) per common share, diluted</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4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0.04</w:t>
            </w:r>
          </w:p>
        </w:tc>
        <w:tc>
          <w:tcPr>
            <w:tcW w:w="4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0.04</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8"/>
                <w:szCs w:val="18"/>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6"/>
        </w:trPr>
        <w:tc>
          <w:tcPr>
            <w:tcW w:w="6400" w:type="dxa"/>
            <w:vAlign w:val="bottom"/>
            <w:vMerge w:val="restart"/>
          </w:tcPr>
          <w:p>
            <w:pPr>
              <w:ind w:left="5520"/>
              <w:spacing w:after="0"/>
              <w:rPr>
                <w:sz w:val="20"/>
                <w:szCs w:val="20"/>
                <w:color w:val="auto"/>
              </w:rPr>
            </w:pPr>
            <w:r>
              <w:rPr>
                <w:rFonts w:ascii="Arial" w:cs="Arial" w:eastAsia="Arial" w:hAnsi="Arial"/>
                <w:sz w:val="17"/>
                <w:szCs w:val="17"/>
                <w:color w:val="auto"/>
              </w:rPr>
              <w:t>31</w:t>
            </w: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6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6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6"/>
          </w:tcPr>
          <w:p>
            <w:pPr>
              <w:ind w:left="80"/>
              <w:spacing w:after="0"/>
              <w:rPr>
                <w:sz w:val="20"/>
                <w:szCs w:val="20"/>
                <w:color w:val="auto"/>
              </w:rPr>
            </w:pPr>
            <w:r>
              <w:rPr>
                <w:rFonts w:ascii="Arial" w:cs="Arial" w:eastAsia="Arial" w:hAnsi="Arial"/>
                <w:sz w:val="17"/>
                <w:szCs w:val="17"/>
                <w:b w:val="1"/>
                <w:bCs w:val="1"/>
                <w:color w:val="auto"/>
                <w:w w:val="99"/>
              </w:rPr>
              <w:t>Six months ended June 30,</w:t>
            </w:r>
          </w:p>
        </w:tc>
        <w:tc>
          <w:tcPr>
            <w:tcW w:w="160" w:type="dxa"/>
            <w:vAlign w:val="bottom"/>
          </w:tcPr>
          <w:p>
            <w:pPr>
              <w:spacing w:after="0"/>
              <w:rPr>
                <w:sz w:val="19"/>
                <w:szCs w:val="19"/>
                <w:color w:val="auto"/>
              </w:rPr>
            </w:pPr>
          </w:p>
        </w:tc>
        <w:tc>
          <w:tcPr>
            <w:tcW w:w="2140" w:type="dxa"/>
            <w:vAlign w:val="bottom"/>
            <w:gridSpan w:val="4"/>
          </w:tcPr>
          <w:p>
            <w:pPr>
              <w:jc w:val="right"/>
              <w:ind w:right="95"/>
              <w:spacing w:after="0"/>
              <w:rPr>
                <w:sz w:val="20"/>
                <w:szCs w:val="20"/>
                <w:color w:val="auto"/>
              </w:rPr>
            </w:pPr>
            <w:r>
              <w:rPr>
                <w:rFonts w:ascii="Arial" w:cs="Arial" w:eastAsia="Arial" w:hAnsi="Arial"/>
                <w:sz w:val="17"/>
                <w:szCs w:val="17"/>
                <w:b w:val="1"/>
                <w:bCs w:val="1"/>
                <w:color w:val="auto"/>
                <w:w w:val="88"/>
              </w:rPr>
              <w:t>Six months ended June 30,</w:t>
            </w: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84"/>
              </w:rPr>
              <w:t>2020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15"/>
              <w:spacing w:after="0"/>
              <w:rPr>
                <w:sz w:val="20"/>
                <w:szCs w:val="20"/>
                <w:color w:val="auto"/>
              </w:rPr>
            </w:pPr>
            <w:r>
              <w:rPr>
                <w:rFonts w:ascii="Arial" w:cs="Arial" w:eastAsia="Arial" w:hAnsi="Arial"/>
                <w:sz w:val="17"/>
                <w:szCs w:val="17"/>
                <w:color w:val="auto"/>
              </w:rPr>
              <w:t>Class A</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Class B</w:t>
            </w:r>
          </w:p>
        </w:tc>
        <w:tc>
          <w:tcPr>
            <w:tcW w:w="16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7"/>
                <w:szCs w:val="17"/>
                <w:color w:val="auto"/>
              </w:rPr>
              <w:t>Class A</w:t>
            </w:r>
          </w:p>
        </w:tc>
        <w:tc>
          <w:tcPr>
            <w:tcW w:w="220" w:type="dxa"/>
            <w:vAlign w:val="bottom"/>
          </w:tcPr>
          <w:p>
            <w:pPr>
              <w:spacing w:after="0"/>
              <w:rPr>
                <w:sz w:val="19"/>
                <w:szCs w:val="19"/>
                <w:color w:val="auto"/>
              </w:rPr>
            </w:pPr>
          </w:p>
        </w:tc>
        <w:tc>
          <w:tcPr>
            <w:tcW w:w="880" w:type="dxa"/>
            <w:vAlign w:val="bottom"/>
          </w:tcPr>
          <w:p>
            <w:pPr>
              <w:jc w:val="right"/>
              <w:ind w:right="195"/>
              <w:spacing w:after="0"/>
              <w:rPr>
                <w:sz w:val="20"/>
                <w:szCs w:val="20"/>
                <w:color w:val="auto"/>
              </w:rPr>
            </w:pPr>
            <w:r>
              <w:rPr>
                <w:rFonts w:ascii="Arial" w:cs="Arial" w:eastAsia="Arial" w:hAnsi="Arial"/>
                <w:sz w:val="17"/>
                <w:szCs w:val="17"/>
                <w:color w:val="auto"/>
                <w:w w:val="98"/>
              </w:rPr>
              <w:t>Class B</w:t>
            </w: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6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3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 (loss) attributable to common stockholders</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6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4"/>
              </w:rPr>
              <w:t>Weighted-average number of common shares outstanding used in computing basic net</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223.2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188.3</w:t>
            </w:r>
          </w:p>
        </w:tc>
        <w:tc>
          <w:tcPr>
            <w:tcW w:w="0" w:type="dxa"/>
            <w:vAlign w:val="bottom"/>
          </w:tcPr>
          <w:p>
            <w:pPr>
              <w:spacing w:after="0"/>
              <w:rPr>
                <w:sz w:val="1"/>
                <w:szCs w:val="1"/>
                <w:color w:val="auto"/>
              </w:rPr>
            </w:pPr>
          </w:p>
        </w:tc>
      </w:tr>
      <w:tr>
        <w:trPr>
          <w:trHeight w:val="221"/>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(loss) per share</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20"/>
              <w:spacing w:after="0"/>
              <w:rPr>
                <w:sz w:val="20"/>
                <w:szCs w:val="20"/>
                <w:color w:val="auto"/>
              </w:rPr>
            </w:pPr>
            <w:r>
              <w:rPr>
                <w:rFonts w:ascii="Arial" w:cs="Arial" w:eastAsia="Arial" w:hAnsi="Arial"/>
                <w:sz w:val="17"/>
                <w:szCs w:val="17"/>
                <w:color w:val="auto"/>
              </w:rPr>
              <w:t>Net income (loss) per common share, basic</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80" w:type="dxa"/>
            <w:vAlign w:val="bottom"/>
            <w:vMerge w:val="continue"/>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0.14</w:t>
            </w:r>
          </w:p>
        </w:tc>
        <w:tc>
          <w:tcPr>
            <w:tcW w:w="4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(0.07)</w:t>
            </w:r>
          </w:p>
        </w:tc>
        <w:tc>
          <w:tcPr>
            <w:tcW w:w="100" w:type="dxa"/>
            <w:vAlign w:val="bottom"/>
          </w:tcPr>
          <w:p>
            <w:pPr>
              <w:spacing w:after="0"/>
              <w:rPr>
                <w:sz w:val="18"/>
                <w:szCs w:val="18"/>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net income (loss)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3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 (loss) attributable to common stockholders</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28"/>
        </w:trPr>
        <w:tc>
          <w:tcPr>
            <w:tcW w:w="6380" w:type="dxa"/>
            <w:vAlign w:val="bottom"/>
          </w:tcPr>
          <w:p>
            <w:pPr>
              <w:ind w:left="160"/>
              <w:spacing w:after="0"/>
              <w:rPr>
                <w:sz w:val="20"/>
                <w:szCs w:val="20"/>
                <w:color w:val="auto"/>
              </w:rPr>
            </w:pPr>
            <w:r>
              <w:rPr>
                <w:rFonts w:ascii="Arial" w:cs="Arial" w:eastAsia="Arial" w:hAnsi="Arial"/>
                <w:sz w:val="17"/>
                <w:szCs w:val="17"/>
                <w:color w:val="auto"/>
                <w:w w:val="92"/>
              </w:rPr>
              <w:t>Reallocation of net income as a result of conversion of Class B to Class A common stock</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Reallocation of net income to Class B common stock</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7"/>
                <w:szCs w:val="17"/>
                <w:color w:val="auto"/>
              </w:rPr>
              <w:t>Net income (loss) attributable to common stockholders for diluted EPS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80" w:type="dxa"/>
            <w:vAlign w:val="bottom"/>
            <w:vMerge w:val="continue"/>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56.8</w:t>
            </w:r>
          </w:p>
        </w:tc>
        <w:tc>
          <w:tcPr>
            <w:tcW w:w="4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7"/>
                <w:szCs w:val="17"/>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60"/>
              <w:spacing w:after="0"/>
              <w:rPr>
                <w:sz w:val="20"/>
                <w:szCs w:val="20"/>
                <w:color w:val="auto"/>
              </w:rPr>
            </w:pPr>
            <w:r>
              <w:rPr>
                <w:rFonts w:ascii="Arial" w:cs="Arial" w:eastAsia="Arial" w:hAnsi="Arial"/>
                <w:sz w:val="17"/>
                <w:szCs w:val="17"/>
                <w:color w:val="auto"/>
                <w:w w:val="94"/>
              </w:rPr>
              <w:t>Weighted-average number of common shares outstanding used in computing basic net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tcPr>
          <w:p>
            <w:pPr>
              <w:ind w:left="160"/>
              <w:spacing w:after="0"/>
              <w:rPr>
                <w:sz w:val="20"/>
                <w:szCs w:val="20"/>
                <w:color w:val="auto"/>
              </w:rPr>
            </w:pPr>
            <w:r>
              <w:rPr>
                <w:rFonts w:ascii="Arial" w:cs="Arial" w:eastAsia="Arial" w:hAnsi="Arial"/>
                <w:sz w:val="17"/>
                <w:szCs w:val="17"/>
                <w:color w:val="auto"/>
              </w:rPr>
              <w:t>income (loss) per share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223.2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188.3</w:t>
            </w: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Weighted-average effect of dilutive RSUs and employee stock options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6380" w:type="dxa"/>
            <w:vAlign w:val="bottom"/>
          </w:tcPr>
          <w:p>
            <w:pPr>
              <w:ind w:left="160"/>
              <w:spacing w:after="0"/>
              <w:rPr>
                <w:sz w:val="20"/>
                <w:szCs w:val="20"/>
                <w:color w:val="auto"/>
              </w:rPr>
            </w:pPr>
            <w:r>
              <w:rPr>
                <w:rFonts w:ascii="Arial" w:cs="Arial" w:eastAsia="Arial" w:hAnsi="Arial"/>
                <w:sz w:val="17"/>
                <w:szCs w:val="17"/>
                <w:color w:val="auto"/>
              </w:rPr>
              <w:t>Conversion of Class B to Class A common stock</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3"/>
              </w:rPr>
              <w:t>Weighted-average number of common shares outstanding used in computed diluted net</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145.3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223.2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188.3</w:t>
            </w:r>
          </w:p>
        </w:tc>
        <w:tc>
          <w:tcPr>
            <w:tcW w:w="0" w:type="dxa"/>
            <w:vAlign w:val="bottom"/>
          </w:tcPr>
          <w:p>
            <w:pPr>
              <w:spacing w:after="0"/>
              <w:rPr>
                <w:sz w:val="1"/>
                <w:szCs w:val="1"/>
                <w:color w:val="auto"/>
              </w:rPr>
            </w:pPr>
          </w:p>
        </w:tc>
      </w:tr>
      <w:tr>
        <w:trPr>
          <w:trHeight w:val="221"/>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(loss) per share</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160"/>
              <w:spacing w:after="0"/>
              <w:rPr>
                <w:sz w:val="20"/>
                <w:szCs w:val="20"/>
                <w:color w:val="auto"/>
              </w:rPr>
            </w:pPr>
            <w:r>
              <w:rPr>
                <w:rFonts w:ascii="Arial" w:cs="Arial" w:eastAsia="Arial" w:hAnsi="Arial"/>
                <w:sz w:val="17"/>
                <w:szCs w:val="17"/>
                <w:color w:val="auto"/>
              </w:rPr>
              <w:t>Net income (loss) per common share, diluted</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80" w:type="dxa"/>
            <w:vAlign w:val="bottom"/>
            <w:vMerge w:val="continue"/>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0.14</w:t>
            </w:r>
          </w:p>
        </w:tc>
        <w:tc>
          <w:tcPr>
            <w:tcW w:w="4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(0.07)</w:t>
            </w:r>
          </w:p>
        </w:tc>
        <w:tc>
          <w:tcPr>
            <w:tcW w:w="100" w:type="dxa"/>
            <w:vAlign w:val="bottom"/>
          </w:tcPr>
          <w:p>
            <w:pPr>
              <w:spacing w:after="0"/>
              <w:rPr>
                <w:sz w:val="18"/>
                <w:szCs w:val="18"/>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ind w:right="660" w:firstLine="406"/>
        <w:spacing w:after="0" w:line="272" w:lineRule="auto"/>
        <w:rPr>
          <w:sz w:val="20"/>
          <w:szCs w:val="20"/>
          <w:color w:val="auto"/>
        </w:rPr>
      </w:pPr>
      <w:r>
        <w:rPr>
          <w:rFonts w:ascii="Arial" w:cs="Arial" w:eastAsia="Arial" w:hAnsi="Arial"/>
          <w:sz w:val="17"/>
          <w:szCs w:val="17"/>
          <w:color w:val="auto"/>
        </w:rPr>
        <w:t>The weighted-average impact of potentially dilutive securities that were not included in the diluted per share calculations because they would be anti-dilutive was as follows:</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w w:val="89"/>
              </w:rPr>
              <w:t>Three months ended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6380" w:type="dxa"/>
            <w:vAlign w:val="bottom"/>
          </w:tcPr>
          <w:p>
            <w:pPr>
              <w:spacing w:after="0"/>
              <w:rPr>
                <w:sz w:val="19"/>
                <w:szCs w:val="19"/>
                <w:color w:val="auto"/>
              </w:rPr>
            </w:pPr>
          </w:p>
        </w:tc>
        <w:tc>
          <w:tcPr>
            <w:tcW w:w="1560" w:type="dxa"/>
            <w:vAlign w:val="bottom"/>
            <w:gridSpan w:val="3"/>
          </w:tcPr>
          <w:p>
            <w:pPr>
              <w:jc w:val="center"/>
              <w:ind w:left="735"/>
              <w:spacing w:after="0"/>
              <w:rPr>
                <w:sz w:val="20"/>
                <w:szCs w:val="20"/>
                <w:color w:val="auto"/>
              </w:rPr>
            </w:pPr>
            <w:r>
              <w:rPr>
                <w:rFonts w:ascii="Arial" w:cs="Arial" w:eastAsia="Arial" w:hAnsi="Arial"/>
                <w:sz w:val="17"/>
                <w:szCs w:val="17"/>
                <w:b w:val="1"/>
                <w:bCs w:val="1"/>
                <w:color w:val="auto"/>
                <w:w w:val="91"/>
              </w:rPr>
              <w:t>June 30,</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3"/>
          </w:tcPr>
          <w:p>
            <w:pPr>
              <w:jc w:val="right"/>
              <w:ind w:right="95"/>
              <w:spacing w:after="0"/>
              <w:rPr>
                <w:sz w:val="20"/>
                <w:szCs w:val="20"/>
                <w:color w:val="auto"/>
              </w:rPr>
            </w:pPr>
            <w:r>
              <w:rPr>
                <w:rFonts w:ascii="Arial" w:cs="Arial" w:eastAsia="Arial" w:hAnsi="Arial"/>
                <w:sz w:val="17"/>
                <w:szCs w:val="17"/>
                <w:b w:val="1"/>
                <w:bCs w:val="1"/>
                <w:color w:val="auto"/>
                <w:w w:val="95"/>
              </w:rPr>
              <w:t>Six months ended June 30,</w:t>
            </w:r>
          </w:p>
        </w:tc>
      </w:tr>
      <w:tr>
        <w:trPr>
          <w:trHeight w:val="26"/>
        </w:trPr>
        <w:tc>
          <w:tcPr>
            <w:tcW w:w="6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0"/>
        </w:trPr>
        <w:tc>
          <w:tcPr>
            <w:tcW w:w="6380" w:type="dxa"/>
            <w:vAlign w:val="bottom"/>
          </w:tcPr>
          <w:p>
            <w:pPr>
              <w:spacing w:after="0"/>
              <w:rPr>
                <w:sz w:val="19"/>
                <w:szCs w:val="19"/>
                <w:color w:val="auto"/>
              </w:rPr>
            </w:pP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1100" w:type="dxa"/>
            <w:vAlign w:val="bottom"/>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1100" w:type="dxa"/>
            <w:vAlign w:val="bottom"/>
          </w:tcPr>
          <w:p>
            <w:pPr>
              <w:jc w:val="right"/>
              <w:ind w:right="295"/>
              <w:spacing w:after="0"/>
              <w:rPr>
                <w:sz w:val="20"/>
                <w:szCs w:val="20"/>
                <w:color w:val="auto"/>
              </w:rPr>
            </w:pPr>
            <w:r>
              <w:rPr>
                <w:rFonts w:ascii="Arial" w:cs="Arial" w:eastAsia="Arial" w:hAnsi="Arial"/>
                <w:sz w:val="17"/>
                <w:szCs w:val="17"/>
                <w:b w:val="1"/>
                <w:bCs w:val="1"/>
                <w:color w:val="auto"/>
              </w:rPr>
              <w:t>2019</w:t>
            </w:r>
          </w:p>
        </w:tc>
      </w:tr>
      <w:tr>
        <w:trPr>
          <w:trHeight w:val="26"/>
        </w:trPr>
        <w:tc>
          <w:tcPr>
            <w:tcW w:w="6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07"/>
        </w:trPr>
        <w:tc>
          <w:tcPr>
            <w:tcW w:w="6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3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28.0</w:t>
            </w:r>
          </w:p>
        </w:tc>
      </w:tr>
      <w:tr>
        <w:trPr>
          <w:trHeight w:val="228"/>
        </w:trPr>
        <w:tc>
          <w:tcPr>
            <w:tcW w:w="6380" w:type="dxa"/>
            <w:vAlign w:val="bottom"/>
          </w:tcPr>
          <w:p>
            <w:pPr>
              <w:ind w:left="20"/>
              <w:spacing w:after="0"/>
              <w:rPr>
                <w:sz w:val="20"/>
                <w:szCs w:val="20"/>
                <w:color w:val="auto"/>
              </w:rPr>
            </w:pPr>
            <w:r>
              <w:rPr>
                <w:rFonts w:ascii="Arial" w:cs="Arial" w:eastAsia="Arial" w:hAnsi="Arial"/>
                <w:sz w:val="17"/>
                <w:szCs w:val="17"/>
                <w:color w:val="auto"/>
              </w:rPr>
              <w:t>Options to purchase shares of common stock</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1.9</w:t>
            </w:r>
          </w:p>
        </w:tc>
      </w:tr>
      <w:tr>
        <w:trPr>
          <w:trHeight w:val="26"/>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Co-Founder Grants</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w:t>
            </w:r>
          </w:p>
        </w:tc>
      </w:tr>
      <w:tr>
        <w:trPr>
          <w:trHeight w:val="220"/>
        </w:trPr>
        <w:tc>
          <w:tcPr>
            <w:tcW w:w="6380" w:type="dxa"/>
            <w:vAlign w:val="bottom"/>
          </w:tcPr>
          <w:p>
            <w:pPr>
              <w:ind w:left="20"/>
              <w:spacing w:after="0"/>
              <w:rPr>
                <w:sz w:val="20"/>
                <w:szCs w:val="20"/>
                <w:color w:val="auto"/>
              </w:rPr>
            </w:pPr>
            <w:r>
              <w:rPr>
                <w:rFonts w:ascii="Arial" w:cs="Arial" w:eastAsia="Arial" w:hAnsi="Arial"/>
                <w:sz w:val="17"/>
                <w:szCs w:val="17"/>
                <w:color w:val="auto"/>
              </w:rPr>
              <w:t>Total</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48.1</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44.6</w:t>
            </w:r>
          </w:p>
        </w:tc>
      </w:tr>
      <w:tr>
        <w:trPr>
          <w:trHeight w:val="26"/>
        </w:trPr>
        <w:tc>
          <w:tcPr>
            <w:tcW w:w="6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4"/>
          <w:szCs w:val="14"/>
          <w:b w:val="1"/>
          <w:bCs w:val="1"/>
          <w:color w:val="auto"/>
        </w:rPr>
        <w:t>Income Taxes</w:t>
      </w:r>
    </w:p>
    <w:p>
      <w:pPr>
        <w:spacing w:after="0" w:line="215" w:lineRule="exact"/>
        <w:rPr>
          <w:sz w:val="20"/>
          <w:szCs w:val="20"/>
          <w:color w:val="auto"/>
        </w:rPr>
      </w:pPr>
    </w:p>
    <w:p>
      <w:pPr>
        <w:ind w:right="40" w:firstLine="406"/>
        <w:spacing w:after="0" w:line="311" w:lineRule="auto"/>
        <w:rPr>
          <w:sz w:val="20"/>
          <w:szCs w:val="20"/>
          <w:color w:val="auto"/>
        </w:rPr>
      </w:pPr>
      <w:r>
        <w:rPr>
          <w:rFonts w:ascii="Arial" w:cs="Arial" w:eastAsia="Arial" w:hAnsi="Arial"/>
          <w:sz w:val="15"/>
          <w:szCs w:val="15"/>
          <w:color w:val="auto"/>
        </w:rPr>
        <w:t>The Company computed the year-to-date income tax provision by applying the estimated annual effective tax rate to the year-to-date pre-tax income and adjusted for discrete tax items in the period. The Company's income tax was an expense of $4.4 million and $4.9 million for the three and six months ended June 30, 2020. The Company's income tax was an expense of $0.6 million and a benefit of $5.1 million for the three and six months ended June 30, 2019.</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00"/>
          </w:cols>
          <w:pgMar w:left="320" w:top="123" w:right="3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income tax expense for the three and six months ended June 30, 2020 was primarily attributable to foreign and state income taxes.</w:t>
      </w:r>
    </w:p>
    <w:p>
      <w:pPr>
        <w:spacing w:after="0" w:line="211" w:lineRule="exact"/>
        <w:rPr>
          <w:sz w:val="20"/>
          <w:szCs w:val="20"/>
          <w:color w:val="auto"/>
        </w:rPr>
      </w:pPr>
    </w:p>
    <w:p>
      <w:pPr>
        <w:jc w:val="both"/>
        <w:ind w:right="20" w:firstLine="406"/>
        <w:spacing w:after="0" w:line="261" w:lineRule="auto"/>
        <w:rPr>
          <w:sz w:val="20"/>
          <w:szCs w:val="20"/>
          <w:color w:val="auto"/>
        </w:rPr>
      </w:pPr>
      <w:r>
        <w:rPr>
          <w:rFonts w:ascii="Arial" w:cs="Arial" w:eastAsia="Arial" w:hAnsi="Arial"/>
          <w:sz w:val="17"/>
          <w:szCs w:val="17"/>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75" w:lineRule="exact"/>
        <w:rPr>
          <w:sz w:val="20"/>
          <w:szCs w:val="20"/>
          <w:color w:val="auto"/>
        </w:rPr>
      </w:pPr>
    </w:p>
    <w:p>
      <w:pPr>
        <w:ind w:firstLine="406"/>
        <w:spacing w:after="0" w:line="255" w:lineRule="auto"/>
        <w:rPr>
          <w:sz w:val="20"/>
          <w:szCs w:val="20"/>
          <w:color w:val="auto"/>
        </w:rPr>
      </w:pPr>
      <w:r>
        <w:rPr>
          <w:rFonts w:ascii="Arial" w:cs="Arial" w:eastAsia="Arial" w:hAnsi="Arial"/>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June 30, 2020, the Company continues to maintain a full valuation allowance on its deferred tax assets in the U.S. and Ireland. However, the Company has partially benefited from its deferred tax assets due to the recognition of forecasted future income which is more likely than not to be earned in one of its foreign jurisdictions.</w:t>
      </w:r>
    </w:p>
    <w:p>
      <w:pPr>
        <w:spacing w:after="0" w:line="180" w:lineRule="exact"/>
        <w:rPr>
          <w:sz w:val="20"/>
          <w:szCs w:val="20"/>
          <w:color w:val="auto"/>
        </w:rPr>
      </w:pPr>
    </w:p>
    <w:p>
      <w:pPr>
        <w:ind w:right="500" w:firstLine="406"/>
        <w:spacing w:after="0" w:line="272" w:lineRule="auto"/>
        <w:rPr>
          <w:sz w:val="20"/>
          <w:szCs w:val="20"/>
          <w:color w:val="auto"/>
        </w:rPr>
      </w:pPr>
      <w:r>
        <w:rPr>
          <w:rFonts w:ascii="Arial" w:cs="Arial" w:eastAsia="Arial" w:hAnsi="Arial"/>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66" w:lineRule="exact"/>
        <w:rPr>
          <w:sz w:val="20"/>
          <w:szCs w:val="20"/>
          <w:color w:val="auto"/>
        </w:rPr>
      </w:pPr>
    </w:p>
    <w:p>
      <w:pPr>
        <w:jc w:val="both"/>
        <w:ind w:right="20" w:firstLine="406"/>
        <w:spacing w:after="0" w:line="284" w:lineRule="auto"/>
        <w:rPr>
          <w:sz w:val="20"/>
          <w:szCs w:val="20"/>
          <w:color w:val="auto"/>
        </w:rPr>
      </w:pPr>
      <w:r>
        <w:rPr>
          <w:rFonts w:ascii="Arial" w:cs="Arial" w:eastAsia="Arial" w:hAnsi="Arial"/>
          <w:sz w:val="16"/>
          <w:szCs w:val="16"/>
          <w:color w:val="auto"/>
        </w:rPr>
        <w:t>Unrecognized tax benefits increased by approximately $4.0 million and $7.5 million for the three months and six months ended June 30, 2020, respectively, of which $1.4 million, if recognized, would affect the Company's effective tax rate. Additionally, unrecognized tax benefits decreased by approximately $0.2 million for the three months and six months ended June 30, 2020 for statute of limitation lapses related to prior period tax positions.</w:t>
      </w:r>
    </w:p>
    <w:p>
      <w:pPr>
        <w:spacing w:after="0" w:line="159" w:lineRule="exact"/>
        <w:rPr>
          <w:sz w:val="20"/>
          <w:szCs w:val="20"/>
          <w:color w:val="auto"/>
        </w:rPr>
      </w:pPr>
    </w:p>
    <w:p>
      <w:pPr>
        <w:jc w:val="both"/>
        <w:ind w:right="60" w:firstLine="381"/>
        <w:spacing w:after="0" w:line="284" w:lineRule="auto"/>
        <w:rPr>
          <w:sz w:val="20"/>
          <w:szCs w:val="20"/>
          <w:color w:val="auto"/>
        </w:rPr>
      </w:pPr>
      <w:r>
        <w:rPr>
          <w:rFonts w:ascii="Arial" w:cs="Arial" w:eastAsia="Arial" w:hAnsi="Arial"/>
          <w:sz w:val="16"/>
          <w:szCs w:val="16"/>
          <w:color w:val="auto"/>
        </w:rPr>
        <w:t>On June 29, 2020, California Governor Newsom signed Assembly Bill No. 85 as part of the California 2020 Budget Act which temporarily suspends the use of California net operating losses and imposes a cap on the amount of business incentive tax credits companies can utilize against their net income. This guidance does not have a material impact on our provision for income taxes in our consolidated financial statements as of June 30, 2020.</w:t>
      </w:r>
    </w:p>
    <w:p>
      <w:pPr>
        <w:spacing w:after="0" w:line="159" w:lineRule="exact"/>
        <w:rPr>
          <w:sz w:val="20"/>
          <w:szCs w:val="20"/>
          <w:color w:val="auto"/>
        </w:rPr>
      </w:pPr>
    </w:p>
    <w:p>
      <w:pPr>
        <w:ind w:right="100" w:firstLine="381"/>
        <w:spacing w:after="0" w:line="272" w:lineRule="auto"/>
        <w:rPr>
          <w:sz w:val="20"/>
          <w:szCs w:val="20"/>
          <w:color w:val="auto"/>
        </w:rPr>
      </w:pPr>
      <w:r>
        <w:rPr>
          <w:rFonts w:ascii="Arial" w:cs="Arial" w:eastAsia="Arial" w:hAnsi="Arial"/>
          <w:sz w:val="16"/>
          <w:szCs w:val="16"/>
          <w:color w:val="auto"/>
        </w:rPr>
        <w:t>On June 7, 2019, a judicial panel of the Ninth Circuit Court of Appeals issued an opinion in Altera Corp. v. Commissioner that would require related parties in an intercompany cost-sharing arrangement to share expenses related to stock-based compensation. On July 22, 2019, the taxpayer requested an en banc rehearing before the full Ninth Circuit Court of Appeals and the request was denied on November 12, 2019. On February 10, 2020, the taxpayer filed a petition for writ of certiorari to the U.S. Supreme Court, which was denied on June 22, 2020. Accordingly, we have included stock-based compensation in our cost-sharing agreements and as a result, we recognized additional state tax expenses in some jurisdictions which do not have sufficient net operating losses to offset the state income. There was no material impact on our income tax provision for the U.S. and Ireland due to our full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20"/>
          </w:cols>
          <w:pgMar w:left="320" w:top="123" w:right="3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Geographic Areas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7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40" w:type="dxa"/>
            <w:vAlign w:val="bottom"/>
            <w:gridSpan w:val="3"/>
          </w:tcPr>
          <w:p>
            <w:pPr>
              <w:jc w:val="right"/>
              <w:ind w:right="15"/>
              <w:spacing w:after="0"/>
              <w:rPr>
                <w:sz w:val="20"/>
                <w:szCs w:val="20"/>
                <w:color w:val="auto"/>
              </w:rPr>
            </w:pPr>
            <w:r>
              <w:rPr>
                <w:rFonts w:ascii="Arial" w:cs="Arial" w:eastAsia="Arial" w:hAnsi="Arial"/>
                <w:sz w:val="17"/>
                <w:szCs w:val="17"/>
                <w:b w:val="1"/>
                <w:bCs w:val="1"/>
                <w:color w:val="auto"/>
              </w:rPr>
              <w:t>As of</w:t>
            </w:r>
          </w:p>
        </w:tc>
        <w:tc>
          <w:tcPr>
            <w:tcW w:w="1780" w:type="dxa"/>
            <w:vAlign w:val="bottom"/>
          </w:tcPr>
          <w:p>
            <w:pPr>
              <w:spacing w:after="0"/>
              <w:rPr>
                <w:sz w:val="19"/>
                <w:szCs w:val="19"/>
                <w:color w:val="auto"/>
              </w:rPr>
            </w:pPr>
          </w:p>
        </w:tc>
      </w:tr>
      <w:tr>
        <w:trPr>
          <w:trHeight w:val="26"/>
        </w:trPr>
        <w:tc>
          <w:tcPr>
            <w:tcW w:w="70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0"/>
        </w:trPr>
        <w:tc>
          <w:tcPr>
            <w:tcW w:w="70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June 30, 2020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235"/>
              <w:spacing w:after="0"/>
              <w:rPr>
                <w:sz w:val="20"/>
                <w:szCs w:val="20"/>
                <w:color w:val="auto"/>
              </w:rPr>
            </w:pPr>
            <w:r>
              <w:rPr>
                <w:rFonts w:ascii="Arial" w:cs="Arial" w:eastAsia="Arial" w:hAnsi="Arial"/>
                <w:sz w:val="17"/>
                <w:szCs w:val="17"/>
                <w:b w:val="1"/>
                <w:bCs w:val="1"/>
                <w:color w:val="auto"/>
                <w:w w:val="94"/>
              </w:rPr>
              <w:t>December 31, 2019</w:t>
            </w:r>
          </w:p>
        </w:tc>
      </w:tr>
      <w:tr>
        <w:trPr>
          <w:trHeight w:val="26"/>
        </w:trPr>
        <w:tc>
          <w:tcPr>
            <w:tcW w:w="70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0"/>
        </w:trPr>
        <w:tc>
          <w:tcPr>
            <w:tcW w:w="7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6"/>
        </w:trPr>
        <w:tc>
          <w:tcPr>
            <w:tcW w:w="7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540" w:type="dxa"/>
            <w:vAlign w:val="bottom"/>
            <w:tcBorders>
              <w:bottom w:val="single" w:sz="8" w:color="CCEEFF"/>
            </w:tcBorders>
            <w:shd w:val="clear" w:color="auto" w:fill="CCEEFF"/>
          </w:tcPr>
          <w:p>
            <w:pPr>
              <w:jc w:val="right"/>
              <w:ind w:right="133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9"/>
              </w:rPr>
              <w:t>464.7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431.9</w:t>
            </w:r>
          </w:p>
        </w:tc>
      </w:tr>
      <w:tr>
        <w:trPr>
          <w:trHeight w:val="254"/>
        </w:trPr>
        <w:tc>
          <w:tcPr>
            <w:tcW w:w="7060" w:type="dxa"/>
            <w:vAlign w:val="bottom"/>
            <w:tcBorders>
              <w:bottom w:val="single" w:sz="8" w:color="CCEEFF"/>
            </w:tcBorders>
          </w:tcPr>
          <w:p>
            <w:pPr>
              <w:ind w:left="20"/>
              <w:spacing w:after="0" w:line="254" w:lineRule="exact"/>
              <w:rPr>
                <w:sz w:val="20"/>
                <w:szCs w:val="20"/>
                <w:color w:val="auto"/>
              </w:rPr>
            </w:pPr>
            <w:r>
              <w:rPr>
                <w:rFonts w:ascii="Arial" w:cs="Arial" w:eastAsia="Arial" w:hAnsi="Arial"/>
                <w:sz w:val="17"/>
                <w:szCs w:val="17"/>
                <w:color w:val="auto"/>
              </w:rPr>
              <w:t>International</w:t>
            </w:r>
            <w:r>
              <w:rPr>
                <w:rFonts w:ascii="Arial" w:cs="Arial" w:eastAsia="Arial" w:hAnsi="Arial"/>
                <w:sz w:val="23"/>
                <w:szCs w:val="23"/>
                <w:color w:val="auto"/>
                <w:vertAlign w:val="superscript"/>
              </w:rPr>
              <w:t>(1)</w:t>
            </w:r>
          </w:p>
        </w:tc>
        <w:tc>
          <w:tcPr>
            <w:tcW w:w="15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13.4</w:t>
            </w:r>
          </w:p>
        </w:tc>
      </w:tr>
      <w:tr>
        <w:trPr>
          <w:trHeight w:val="252"/>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1540" w:type="dxa"/>
            <w:vAlign w:val="bottom"/>
            <w:tcBorders>
              <w:bottom w:val="single" w:sz="8" w:color="CCEEFF"/>
            </w:tcBorders>
            <w:shd w:val="clear" w:color="auto" w:fill="CCEEFF"/>
          </w:tcPr>
          <w:p>
            <w:pPr>
              <w:jc w:val="right"/>
              <w:ind w:right="133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9"/>
              </w:rPr>
              <w:t>475.6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445.3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left="300" w:right="320" w:firstLine="6"/>
        <w:spacing w:after="0" w:line="297" w:lineRule="auto"/>
        <w:tabs>
          <w:tab w:leader="none" w:pos="468"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No single country other than the United States had a property and equipment balance greater than 10% of total property and equipment, net, as of June 30, 2020 and December 31, 2019.</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Revenue</w:t>
      </w:r>
    </w:p>
    <w:p>
      <w:pPr>
        <w:spacing w:after="0" w:line="109" w:lineRule="exact"/>
        <w:rPr>
          <w:sz w:val="20"/>
          <w:szCs w:val="20"/>
          <w:color w:val="auto"/>
        </w:rPr>
      </w:pPr>
    </w:p>
    <w:p>
      <w:pPr>
        <w:ind w:right="240" w:firstLine="406"/>
        <w:spacing w:after="0" w:line="272" w:lineRule="auto"/>
        <w:rPr>
          <w:sz w:val="20"/>
          <w:szCs w:val="20"/>
          <w:color w:val="auto"/>
        </w:rPr>
      </w:pPr>
      <w:r>
        <w:rPr>
          <w:rFonts w:ascii="Arial" w:cs="Arial" w:eastAsia="Arial" w:hAnsi="Arial"/>
          <w:sz w:val="17"/>
          <w:szCs w:val="17"/>
          <w:color w:val="auto"/>
        </w:rPr>
        <w:t>Revenue by geography is generally based on the address of the customer as defined in the Company’s subscription agreement. The following table sets forth revenue by geographic area for the three and six months ended June 30, 2020 and 2019.</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60" w:type="dxa"/>
            <w:vAlign w:val="bottom"/>
          </w:tcPr>
          <w:p>
            <w:pPr>
              <w:spacing w:after="0"/>
              <w:rPr>
                <w:sz w:val="19"/>
                <w:szCs w:val="19"/>
                <w:color w:val="auto"/>
              </w:rPr>
            </w:pPr>
          </w:p>
        </w:tc>
        <w:tc>
          <w:tcPr>
            <w:tcW w:w="2280" w:type="dxa"/>
            <w:vAlign w:val="bottom"/>
            <w:gridSpan w:val="6"/>
          </w:tcPr>
          <w:p>
            <w:pPr>
              <w:ind w:left="40"/>
              <w:spacing w:after="0"/>
              <w:rPr>
                <w:sz w:val="20"/>
                <w:szCs w:val="20"/>
                <w:color w:val="auto"/>
              </w:rPr>
            </w:pPr>
            <w:r>
              <w:rPr>
                <w:rFonts w:ascii="Arial" w:cs="Arial" w:eastAsia="Arial" w:hAnsi="Arial"/>
                <w:sz w:val="17"/>
                <w:szCs w:val="17"/>
                <w:b w:val="1"/>
                <w:bCs w:val="1"/>
                <w:color w:val="auto"/>
                <w:w w:val="92"/>
              </w:rPr>
              <w:t>Three months ended June 30,</w:t>
            </w:r>
          </w:p>
        </w:tc>
        <w:tc>
          <w:tcPr>
            <w:tcW w:w="2100" w:type="dxa"/>
            <w:vAlign w:val="bottom"/>
            <w:gridSpan w:val="5"/>
          </w:tcPr>
          <w:p>
            <w:pPr>
              <w:jc w:val="right"/>
              <w:spacing w:after="0"/>
              <w:rPr>
                <w:sz w:val="20"/>
                <w:szCs w:val="20"/>
                <w:color w:val="auto"/>
              </w:rPr>
            </w:pPr>
            <w:r>
              <w:rPr>
                <w:rFonts w:ascii="Arial" w:cs="Arial" w:eastAsia="Arial" w:hAnsi="Arial"/>
                <w:sz w:val="17"/>
                <w:szCs w:val="17"/>
                <w:b w:val="1"/>
                <w:bCs w:val="1"/>
                <w:color w:val="auto"/>
                <w:w w:val="91"/>
              </w:rPr>
              <w:t>Six months ended June 30,</w:t>
            </w:r>
          </w:p>
        </w:tc>
      </w:tr>
      <w:tr>
        <w:trPr>
          <w:trHeight w:val="26"/>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0"/>
        </w:trPr>
        <w:tc>
          <w:tcPr>
            <w:tcW w:w="6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5"/>
              <w:spacing w:after="0"/>
              <w:rPr>
                <w:sz w:val="20"/>
                <w:szCs w:val="20"/>
                <w:color w:val="auto"/>
              </w:rPr>
            </w:pPr>
            <w:r>
              <w:rPr>
                <w:rFonts w:ascii="Arial" w:cs="Arial" w:eastAsia="Arial" w:hAnsi="Arial"/>
                <w:sz w:val="17"/>
                <w:szCs w:val="17"/>
                <w:b w:val="1"/>
                <w:bCs w:val="1"/>
                <w:color w:val="auto"/>
              </w:rPr>
              <w:t>2019</w:t>
            </w:r>
          </w:p>
        </w:tc>
      </w:tr>
      <w:tr>
        <w:trPr>
          <w:trHeight w:val="26"/>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07"/>
        </w:trPr>
        <w:tc>
          <w:tcPr>
            <w:tcW w:w="6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402.6</w:t>
            </w:r>
          </w:p>
        </w:tc>
      </w:tr>
      <w:tr>
        <w:trPr>
          <w:trHeight w:val="254"/>
        </w:trPr>
        <w:tc>
          <w:tcPr>
            <w:tcW w:w="6860" w:type="dxa"/>
            <w:vAlign w:val="bottom"/>
            <w:tcBorders>
              <w:bottom w:val="single" w:sz="8" w:color="CCEEFF"/>
            </w:tcBorders>
          </w:tcPr>
          <w:p>
            <w:pPr>
              <w:ind w:left="20"/>
              <w:spacing w:after="0" w:line="254" w:lineRule="exact"/>
              <w:rPr>
                <w:sz w:val="20"/>
                <w:szCs w:val="20"/>
                <w:color w:val="auto"/>
              </w:rPr>
            </w:pPr>
            <w:r>
              <w:rPr>
                <w:rFonts w:ascii="Arial" w:cs="Arial" w:eastAsia="Arial" w:hAnsi="Arial"/>
                <w:sz w:val="17"/>
                <w:szCs w:val="17"/>
                <w:color w:val="auto"/>
              </w:rPr>
              <w:t>International</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222.8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196.0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442.2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384.5</w:t>
            </w:r>
          </w:p>
        </w:tc>
      </w:tr>
      <w:tr>
        <w:trPr>
          <w:trHeight w:val="252"/>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787.1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left="5540" w:right="180" w:hanging="5234"/>
        <w:spacing w:after="0" w:line="543" w:lineRule="auto"/>
        <w:tabs>
          <w:tab w:leader="none" w:pos="474"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No single country outside of the United States accounted for more than 10% of total revenue during the three and six months ended June 30, 2020 and 2019. 34</w:t>
      </w:r>
    </w:p>
    <w:p>
      <w:pPr>
        <w:sectPr>
          <w:pgSz w:w="11900" w:h="16838" w:orient="portrait"/>
          <w:cols w:equalWidth="0" w:num="1">
            <w:col w:w="11240"/>
          </w:cols>
          <w:pgMar w:left="320" w:top="123" w:right="3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5" w:lineRule="exact"/>
        <w:rPr>
          <w:sz w:val="20"/>
          <w:szCs w:val="20"/>
          <w:color w:val="auto"/>
        </w:rPr>
      </w:pPr>
    </w:p>
    <w:p>
      <w:pPr>
        <w:ind w:firstLine="406"/>
        <w:spacing w:after="0" w:line="294"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3" w:lineRule="exact"/>
        <w:rPr>
          <w:sz w:val="20"/>
          <w:szCs w:val="20"/>
          <w:color w:val="auto"/>
        </w:rPr>
      </w:pPr>
    </w:p>
    <w:p>
      <w:pPr>
        <w:ind w:right="260" w:firstLine="406"/>
        <w:spacing w:after="0" w:line="341"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building the world’s first smart workspace where businesses and individuals can create, access, and share this content globally. We serve more than 600 million registered users across 180 countries.</w:t>
      </w:r>
    </w:p>
    <w:p>
      <w:pPr>
        <w:spacing w:after="0" w:line="119" w:lineRule="exact"/>
        <w:rPr>
          <w:sz w:val="20"/>
          <w:szCs w:val="20"/>
          <w:color w:val="auto"/>
        </w:rPr>
      </w:pPr>
    </w:p>
    <w:p>
      <w:pPr>
        <w:ind w:right="40" w:firstLine="406"/>
        <w:spacing w:after="0" w:line="311" w:lineRule="auto"/>
        <w:rPr>
          <w:sz w:val="20"/>
          <w:szCs w:val="20"/>
          <w:color w:val="auto"/>
        </w:rPr>
      </w:pPr>
      <w:r>
        <w:rPr>
          <w:rFonts w:ascii="Arial" w:cs="Arial" w:eastAsia="Arial" w:hAnsi="Arial"/>
          <w:sz w:val="15"/>
          <w:szCs w:val="15"/>
          <w:color w:val="auto"/>
        </w:rPr>
        <w:t>Since our founding in 2007, our market opportunity has grown as we’ve expanded from keeping files in sync to keeping teams in sync. Our smart workspace is a digital environment that brings all of a team’s content together with the tools they love, helping users cut through the clutter and surfacing what matters most. In a world where using technology at work can be fragmented and distracting, the smart workspace makes it easy to focus on the work that matters.</w:t>
      </w:r>
    </w:p>
    <w:p>
      <w:pPr>
        <w:spacing w:after="0" w:line="142" w:lineRule="exact"/>
        <w:rPr>
          <w:sz w:val="20"/>
          <w:szCs w:val="20"/>
          <w:color w:val="auto"/>
        </w:rPr>
      </w:pPr>
    </w:p>
    <w:p>
      <w:pPr>
        <w:ind w:right="140" w:firstLine="406"/>
        <w:spacing w:after="0" w:line="272" w:lineRule="auto"/>
        <w:rPr>
          <w:sz w:val="20"/>
          <w:szCs w:val="20"/>
          <w:color w:val="auto"/>
        </w:rPr>
      </w:pPr>
      <w:r>
        <w:rPr>
          <w:rFonts w:ascii="Arial" w:cs="Arial" w:eastAsia="Arial" w:hAnsi="Arial"/>
          <w:sz w:val="17"/>
          <w:szCs w:val="17"/>
          <w:color w:val="auto"/>
        </w:rPr>
        <w:t>By solving these universal problems, we’ve become invaluable to our users. The popularity of our platform drives viral growth, which has allowed us to scale rapidly and efficiently. We’ve built a thriving global business with 15.0 million paying users.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13" w:lineRule="exact"/>
        <w:rPr>
          <w:sz w:val="20"/>
          <w:szCs w:val="20"/>
          <w:color w:val="auto"/>
        </w:rPr>
      </w:pPr>
    </w:p>
    <w:p>
      <w:pPr>
        <w:ind w:right="20" w:firstLine="406"/>
        <w:spacing w:after="0" w:line="271" w:lineRule="auto"/>
        <w:rPr>
          <w:sz w:val="20"/>
          <w:szCs w:val="20"/>
          <w:color w:val="auto"/>
        </w:rPr>
      </w:pPr>
      <w:r>
        <w:rPr>
          <w:rFonts w:ascii="Arial" w:cs="Arial" w:eastAsia="Arial" w:hAnsi="Arial"/>
          <w:sz w:val="16"/>
          <w:szCs w:val="16"/>
          <w:color w:val="auto"/>
        </w:rPr>
        <w:t>We generate revenue from individuals, teams, and organizations by selling subscriptions to our platform, which serve the varying needs of our diverse customer base. Subscribers can purchase individual licenses through our Plus and Professional plans, or purchase multiple licenses through a Standard, Advanced, or Enterprise team plan. Each team represents a separately billed deployment that is managed through a single administrative dashboard. Teams must have a minimum of three users, but can also have more than tens of thousands of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170" w:lineRule="exact"/>
        <w:rPr>
          <w:sz w:val="20"/>
          <w:szCs w:val="20"/>
          <w:color w:val="auto"/>
        </w:rPr>
      </w:pPr>
    </w:p>
    <w:p>
      <w:pPr>
        <w:ind w:right="20" w:firstLine="406"/>
        <w:spacing w:after="0" w:line="257" w:lineRule="auto"/>
        <w:rPr>
          <w:sz w:val="20"/>
          <w:szCs w:val="20"/>
          <w:color w:val="auto"/>
        </w:rPr>
      </w:pPr>
      <w:r>
        <w:rPr>
          <w:rFonts w:ascii="Arial" w:cs="Arial" w:eastAsia="Arial" w:hAnsi="Arial"/>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78" w:lineRule="exact"/>
        <w:rPr>
          <w:sz w:val="20"/>
          <w:szCs w:val="20"/>
          <w:color w:val="auto"/>
        </w:rPr>
      </w:pPr>
    </w:p>
    <w:p>
      <w:pPr>
        <w:ind w:right="40" w:firstLine="305"/>
        <w:spacing w:after="0" w:line="253" w:lineRule="auto"/>
        <w:rPr>
          <w:sz w:val="20"/>
          <w:szCs w:val="20"/>
          <w:color w:val="auto"/>
        </w:rPr>
      </w:pPr>
      <w:r>
        <w:rPr>
          <w:rFonts w:ascii="Arial" w:cs="Arial" w:eastAsia="Arial" w:hAnsi="Arial"/>
          <w:sz w:val="17"/>
          <w:szCs w:val="17"/>
          <w:color w:val="auto"/>
        </w:rPr>
        <w:t>In the first quarter of fiscal 2019, we acquired HelloSign, an e-signature and document workflow platform. The acquisition of HelloSign expands our content collaboration capabilities to include additional business-critical workflows.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of a certain number of licenses, but can also have hundreds of users. Customers can choose between an annual or monthly plan, with a small number of large organizations on multi-year plans. We typically bill HelloSign customers at the beginning of their respective terms and recognizes revenue ratably over the subscription period. We sell HelloSign products globally and sell only in U.S. dollars</w:t>
      </w:r>
      <w:r>
        <w:rPr>
          <w:rFonts w:ascii="Arial" w:cs="Arial" w:eastAsia="Arial" w:hAnsi="Arial"/>
          <w:sz w:val="17"/>
          <w:szCs w:val="17"/>
          <w:i w:val="1"/>
          <w:iCs w:val="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13" w:lineRule="exact"/>
        <w:rPr>
          <w:sz w:val="20"/>
          <w:szCs w:val="20"/>
          <w:color w:val="auto"/>
        </w:rPr>
      </w:pPr>
    </w:p>
    <w:p>
      <w:pPr>
        <w:ind w:right="380" w:firstLine="406"/>
        <w:spacing w:after="0" w:line="261" w:lineRule="auto"/>
        <w:rPr>
          <w:sz w:val="20"/>
          <w:szCs w:val="20"/>
          <w:color w:val="auto"/>
        </w:rPr>
      </w:pPr>
      <w:r>
        <w:rPr>
          <w:rFonts w:ascii="Arial" w:cs="Arial" w:eastAsia="Arial" w:hAnsi="Arial"/>
          <w:sz w:val="17"/>
          <w:szCs w:val="17"/>
          <w:color w:val="auto"/>
        </w:rPr>
        <w:t>Our customer base is highly diversified, and in the period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123"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education, industrials, consumer and retail, and financial services. Within companies, our platform is used by all types of teams and functions, including sales, marketing, product, design, engineering, finance, legal, and human resources.</w:t>
      </w:r>
    </w:p>
    <w:p>
      <w:pPr>
        <w:spacing w:after="0" w:line="369"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720"/>
          </w:cols>
          <w:pgMar w:left="320" w:top="123" w:right="8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Drive new signups</w:t>
      </w:r>
    </w:p>
    <w:p>
      <w:pPr>
        <w:spacing w:after="0" w:line="211" w:lineRule="exact"/>
        <w:rPr>
          <w:sz w:val="20"/>
          <w:szCs w:val="20"/>
          <w:color w:val="auto"/>
        </w:rPr>
      </w:pPr>
    </w:p>
    <w:p>
      <w:pPr>
        <w:ind w:firstLine="406"/>
        <w:spacing w:after="0" w:line="261" w:lineRule="auto"/>
        <w:rPr>
          <w:sz w:val="20"/>
          <w:szCs w:val="20"/>
          <w:color w:val="auto"/>
        </w:rPr>
      </w:pPr>
      <w:r>
        <w:rPr>
          <w:rFonts w:ascii="Arial" w:cs="Arial" w:eastAsia="Arial" w:hAnsi="Arial"/>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Increase conversion of registered users to our paid subscription plans</w:t>
      </w:r>
    </w:p>
    <w:p>
      <w:pPr>
        <w:spacing w:after="0" w:line="211" w:lineRule="exact"/>
        <w:rPr>
          <w:sz w:val="20"/>
          <w:szCs w:val="20"/>
          <w:color w:val="auto"/>
        </w:rPr>
      </w:pPr>
    </w:p>
    <w:p>
      <w:pPr>
        <w:ind w:right="60" w:firstLine="406"/>
        <w:spacing w:after="0" w:line="257" w:lineRule="auto"/>
        <w:rPr>
          <w:sz w:val="20"/>
          <w:szCs w:val="20"/>
          <w:color w:val="auto"/>
        </w:rPr>
      </w:pPr>
      <w:r>
        <w:rPr>
          <w:rFonts w:ascii="Arial" w:cs="Arial" w:eastAsia="Arial" w:hAnsi="Arial"/>
          <w:sz w:val="17"/>
          <w:szCs w:val="17"/>
          <w:color w:val="auto"/>
        </w:rPr>
        <w:t>We generate over 90% of our revenue from self-serve channels — 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Upgrade and expand existing customers</w:t>
      </w:r>
    </w:p>
    <w:p>
      <w:pPr>
        <w:spacing w:after="0" w:line="211" w:lineRule="exact"/>
        <w:rPr>
          <w:sz w:val="20"/>
          <w:szCs w:val="20"/>
          <w:color w:val="auto"/>
        </w:rPr>
      </w:pPr>
    </w:p>
    <w:p>
      <w:pPr>
        <w:ind w:right="20" w:firstLine="406"/>
        <w:spacing w:after="0" w:line="257" w:lineRule="auto"/>
        <w:rPr>
          <w:sz w:val="20"/>
          <w:szCs w:val="20"/>
          <w:color w:val="auto"/>
        </w:rPr>
      </w:pPr>
      <w:r>
        <w:rPr>
          <w:rFonts w:ascii="Arial" w:cs="Arial" w:eastAsia="Arial" w:hAnsi="Arial"/>
          <w:sz w:val="17"/>
          <w:szCs w:val="17"/>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COVID-19 update</w:t>
      </w:r>
    </w:p>
    <w:p>
      <w:pPr>
        <w:spacing w:after="0" w:line="211" w:lineRule="exact"/>
        <w:rPr>
          <w:sz w:val="20"/>
          <w:szCs w:val="20"/>
          <w:color w:val="auto"/>
        </w:rPr>
      </w:pPr>
    </w:p>
    <w:p>
      <w:pPr>
        <w:ind w:right="20" w:firstLine="368"/>
        <w:spacing w:after="0" w:line="272" w:lineRule="auto"/>
        <w:rPr>
          <w:sz w:val="20"/>
          <w:szCs w:val="20"/>
          <w:color w:val="auto"/>
        </w:rPr>
      </w:pPr>
      <w:r>
        <w:rPr>
          <w:rFonts w:ascii="Arial" w:cs="Arial" w:eastAsia="Arial" w:hAnsi="Arial"/>
          <w:sz w:val="16"/>
          <w:szCs w:val="16"/>
          <w:color w:val="auto"/>
        </w:rPr>
        <w:t>Although we have seen and may continue to see an impact to our financial condition or results of operations, as described below, the full extent of the impact of the COVID-19 pandemic on our operational and financial performance will depend on certain developments, including the duration and spread of the outbreak, the pace of reopening, impact on our customers and our sales cycles, impact on our business operations, impact on our customer, employee or industry events, and effect on our vendors, all of which are uncertain and cannot be predicted. The extent to which the COVID-19 pandemic may impact our business, financial condition or results of operations is uncertain, but may include, without limitation, impacts to our paying user growth as well as disruptions to our business operations as a result of travel restrictions, shutdown of workplaces and potential impacts to our vendors.</w:t>
      </w:r>
    </w:p>
    <w:p>
      <w:pPr>
        <w:spacing w:after="0" w:line="170" w:lineRule="exact"/>
        <w:rPr>
          <w:sz w:val="20"/>
          <w:szCs w:val="20"/>
          <w:color w:val="auto"/>
        </w:rPr>
      </w:pPr>
    </w:p>
    <w:p>
      <w:pPr>
        <w:ind w:right="40" w:firstLine="368"/>
        <w:spacing w:after="0" w:line="269" w:lineRule="auto"/>
        <w:rPr>
          <w:sz w:val="20"/>
          <w:szCs w:val="20"/>
          <w:color w:val="auto"/>
        </w:rPr>
      </w:pPr>
      <w:r>
        <w:rPr>
          <w:rFonts w:ascii="Arial" w:cs="Arial" w:eastAsia="Arial" w:hAnsi="Arial"/>
          <w:sz w:val="16"/>
          <w:szCs w:val="16"/>
          <w:color w:val="auto"/>
        </w:rPr>
        <w:t>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(i) a weakening of foreign currencies relative to the U.S. dollar, which may cause our revenues to decline relative to our costs, and (ii) government-initiated reductions in interest rates, which may reduce our interest income. In certain cases, we have provided relief to our customers in the form of extending net payment terms and changing invoice frequency, which may negatively impact our accounts receivable. Conversely, we have seen and may continue to see cost savings from the shift to remote work for all of our employees in areas including events, travel, utilities, and other benefits. Due to our subscription based business model, the effect of the COVID-19 pandemic may not be fully reflected in our results of operations until future periods, if at all. Please see Item 1A. “Risk Factors” in this Quarterly Report on Form 10-Q for a complete description of the material risks we currently face, including risks related to the COVID-19 pandemic.</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20"/>
          </w:cols>
          <w:pgMar w:left="320" w:top="123" w:right="3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215" w:lineRule="exact"/>
        <w:rPr>
          <w:sz w:val="20"/>
          <w:szCs w:val="20"/>
          <w:color w:val="auto"/>
        </w:rPr>
      </w:pPr>
    </w:p>
    <w:p>
      <w:pPr>
        <w:ind w:right="40" w:firstLine="406"/>
        <w:spacing w:after="0" w:line="272"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Total annual recurring revenue</w:t>
      </w:r>
    </w:p>
    <w:p>
      <w:pPr>
        <w:spacing w:after="0" w:line="109"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Total ARR is a performance metric and should be viewed independently of revenue and deferred revenue, and is not intended to be a substitute for, or combined with, any of these items.</w:t>
      </w:r>
    </w:p>
    <w:p>
      <w:pPr>
        <w:spacing w:after="0" w:line="147" w:lineRule="exact"/>
        <w:rPr>
          <w:sz w:val="20"/>
          <w:szCs w:val="20"/>
          <w:color w:val="auto"/>
        </w:rPr>
      </w:pPr>
    </w:p>
    <w:p>
      <w:pPr>
        <w:ind w:right="60" w:firstLine="406"/>
        <w:spacing w:after="0" w:line="261"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adjust the exchange rates used to calculate Total ARR on an annual basis at the beginning of each fiscal year.</w:t>
      </w:r>
    </w:p>
    <w:p>
      <w:pPr>
        <w:spacing w:after="0" w:line="175" w:lineRule="exact"/>
        <w:rPr>
          <w:sz w:val="20"/>
          <w:szCs w:val="20"/>
          <w:color w:val="auto"/>
        </w:rPr>
      </w:pPr>
    </w:p>
    <w:p>
      <w:pPr>
        <w:ind w:right="420" w:firstLine="406"/>
        <w:spacing w:after="0" w:line="272" w:lineRule="auto"/>
        <w:rPr>
          <w:sz w:val="20"/>
          <w:szCs w:val="20"/>
          <w:color w:val="auto"/>
        </w:rPr>
      </w:pPr>
      <w:r>
        <w:rPr>
          <w:rFonts w:ascii="Arial" w:cs="Arial" w:eastAsia="Arial" w:hAnsi="Arial"/>
          <w:sz w:val="17"/>
          <w:szCs w:val="17"/>
          <w:color w:val="auto"/>
        </w:rPr>
        <w:t>The below tables set forth our Total ARR using the exchange rates set at the beginning of each year, as well as on a constant currency basis relative to the exchange rates used in 2020.</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4"/>
              </w:rPr>
              <w:t>As of</w:t>
            </w:r>
          </w:p>
        </w:tc>
        <w:tc>
          <w:tcPr>
            <w:tcW w:w="2000" w:type="dxa"/>
            <w:vAlign w:val="bottom"/>
          </w:tcPr>
          <w:p>
            <w:pPr>
              <w:spacing w:after="0"/>
              <w:rPr>
                <w:sz w:val="19"/>
                <w:szCs w:val="19"/>
                <w:color w:val="auto"/>
              </w:rPr>
            </w:pPr>
          </w:p>
        </w:tc>
      </w:tr>
      <w:tr>
        <w:trPr>
          <w:trHeight w:val="26"/>
        </w:trPr>
        <w:tc>
          <w:tcPr>
            <w:tcW w:w="504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0"/>
        </w:trPr>
        <w:tc>
          <w:tcPr>
            <w:tcW w:w="5040" w:type="dxa"/>
            <w:vAlign w:val="bottom"/>
          </w:tcPr>
          <w:p>
            <w:pPr>
              <w:spacing w:after="0"/>
              <w:rPr>
                <w:sz w:val="19"/>
                <w:szCs w:val="19"/>
                <w:color w:val="auto"/>
              </w:rPr>
            </w:pPr>
          </w:p>
        </w:tc>
        <w:tc>
          <w:tcPr>
            <w:tcW w:w="2020" w:type="dxa"/>
            <w:vAlign w:val="bottom"/>
            <w:gridSpan w:val="2"/>
          </w:tcPr>
          <w:p>
            <w:pPr>
              <w:ind w:left="460"/>
              <w:spacing w:after="0"/>
              <w:rPr>
                <w:sz w:val="20"/>
                <w:szCs w:val="20"/>
                <w:color w:val="auto"/>
              </w:rPr>
            </w:pPr>
            <w:r>
              <w:rPr>
                <w:rFonts w:ascii="Arial" w:cs="Arial" w:eastAsia="Arial" w:hAnsi="Arial"/>
                <w:sz w:val="17"/>
                <w:szCs w:val="17"/>
                <w:b w:val="1"/>
                <w:bCs w:val="1"/>
                <w:color w:val="auto"/>
              </w:rPr>
              <w:t>June 30, 2020</w:t>
            </w:r>
          </w:p>
        </w:tc>
        <w:tc>
          <w:tcPr>
            <w:tcW w:w="2140" w:type="dxa"/>
            <w:vAlign w:val="bottom"/>
            <w:gridSpan w:val="2"/>
          </w:tcPr>
          <w:p>
            <w:pPr>
              <w:ind w:left="320"/>
              <w:spacing w:after="0"/>
              <w:rPr>
                <w:sz w:val="20"/>
                <w:szCs w:val="20"/>
                <w:color w:val="auto"/>
              </w:rPr>
            </w:pPr>
            <w:r>
              <w:rPr>
                <w:rFonts w:ascii="Arial" w:cs="Arial" w:eastAsia="Arial" w:hAnsi="Arial"/>
                <w:sz w:val="17"/>
                <w:szCs w:val="17"/>
                <w:b w:val="1"/>
                <w:bCs w:val="1"/>
                <w:color w:val="auto"/>
              </w:rPr>
              <w:t>December 31, 2019</w:t>
            </w:r>
          </w:p>
        </w:tc>
        <w:tc>
          <w:tcPr>
            <w:tcW w:w="2000" w:type="dxa"/>
            <w:vAlign w:val="bottom"/>
          </w:tcPr>
          <w:p>
            <w:pPr>
              <w:jc w:val="right"/>
              <w:ind w:right="435"/>
              <w:spacing w:after="0"/>
              <w:rPr>
                <w:sz w:val="20"/>
                <w:szCs w:val="20"/>
                <w:color w:val="auto"/>
              </w:rPr>
            </w:pPr>
            <w:r>
              <w:rPr>
                <w:rFonts w:ascii="Arial" w:cs="Arial" w:eastAsia="Arial" w:hAnsi="Arial"/>
                <w:sz w:val="17"/>
                <w:szCs w:val="17"/>
                <w:b w:val="1"/>
                <w:bCs w:val="1"/>
                <w:color w:val="auto"/>
              </w:rPr>
              <w:t>June 30, 2019</w:t>
            </w:r>
          </w:p>
        </w:tc>
      </w:tr>
      <w:tr>
        <w:trPr>
          <w:trHeight w:val="26"/>
        </w:trPr>
        <w:tc>
          <w:tcPr>
            <w:tcW w:w="50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385"/>
        </w:trPr>
        <w:tc>
          <w:tcPr>
            <w:tcW w:w="5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2"/>
          </w:tcPr>
          <w:p>
            <w:pPr>
              <w:jc w:val="center"/>
              <w:ind w:right="20"/>
              <w:spacing w:after="0"/>
              <w:rPr>
                <w:sz w:val="20"/>
                <w:szCs w:val="20"/>
                <w:color w:val="auto"/>
              </w:rPr>
            </w:pPr>
            <w:r>
              <w:rPr>
                <w:rFonts w:ascii="Arial" w:cs="Arial" w:eastAsia="Arial" w:hAnsi="Arial"/>
                <w:sz w:val="17"/>
                <w:szCs w:val="17"/>
                <w:i w:val="1"/>
                <w:iCs w:val="1"/>
                <w:color w:val="auto"/>
                <w:w w:val="96"/>
              </w:rPr>
              <w:t>(In millions)</w:t>
            </w:r>
          </w:p>
        </w:tc>
        <w:tc>
          <w:tcPr>
            <w:tcW w:w="2000" w:type="dxa"/>
            <w:vAlign w:val="bottom"/>
          </w:tcPr>
          <w:p>
            <w:pPr>
              <w:spacing w:after="0"/>
              <w:rPr>
                <w:sz w:val="24"/>
                <w:szCs w:val="24"/>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ARR</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$1,931</w:t>
            </w: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$1,820</w:t>
            </w:r>
          </w:p>
        </w:tc>
        <w:tc>
          <w:tcPr>
            <w:tcW w:w="1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$1,651</w:t>
            </w:r>
          </w:p>
        </w:tc>
      </w:tr>
      <w:tr>
        <w:trPr>
          <w:trHeight w:val="761"/>
        </w:trPr>
        <w:tc>
          <w:tcPr>
            <w:tcW w:w="5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4"/>
              </w:rPr>
              <w:t>As of</w:t>
            </w:r>
          </w:p>
        </w:tc>
        <w:tc>
          <w:tcPr>
            <w:tcW w:w="2000" w:type="dxa"/>
            <w:vAlign w:val="bottom"/>
          </w:tcPr>
          <w:p>
            <w:pPr>
              <w:spacing w:after="0"/>
              <w:rPr>
                <w:sz w:val="24"/>
                <w:szCs w:val="24"/>
                <w:color w:val="auto"/>
              </w:rPr>
            </w:pPr>
          </w:p>
        </w:tc>
      </w:tr>
      <w:tr>
        <w:trPr>
          <w:trHeight w:val="26"/>
        </w:trPr>
        <w:tc>
          <w:tcPr>
            <w:tcW w:w="504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0"/>
        </w:trPr>
        <w:tc>
          <w:tcPr>
            <w:tcW w:w="5040" w:type="dxa"/>
            <w:vAlign w:val="bottom"/>
          </w:tcPr>
          <w:p>
            <w:pPr>
              <w:ind w:left="40"/>
              <w:spacing w:after="0"/>
              <w:rPr>
                <w:sz w:val="20"/>
                <w:szCs w:val="20"/>
                <w:color w:val="auto"/>
              </w:rPr>
            </w:pPr>
            <w:r>
              <w:rPr>
                <w:rFonts w:ascii="Arial" w:cs="Arial" w:eastAsia="Arial" w:hAnsi="Arial"/>
                <w:sz w:val="17"/>
                <w:szCs w:val="17"/>
                <w:b w:val="1"/>
                <w:bCs w:val="1"/>
                <w:color w:val="auto"/>
              </w:rPr>
              <w:t>Constant Currency</w:t>
            </w:r>
          </w:p>
        </w:tc>
        <w:tc>
          <w:tcPr>
            <w:tcW w:w="2020" w:type="dxa"/>
            <w:vAlign w:val="bottom"/>
            <w:gridSpan w:val="2"/>
          </w:tcPr>
          <w:p>
            <w:pPr>
              <w:ind w:left="460"/>
              <w:spacing w:after="0"/>
              <w:rPr>
                <w:sz w:val="20"/>
                <w:szCs w:val="20"/>
                <w:color w:val="auto"/>
              </w:rPr>
            </w:pPr>
            <w:r>
              <w:rPr>
                <w:rFonts w:ascii="Arial" w:cs="Arial" w:eastAsia="Arial" w:hAnsi="Arial"/>
                <w:sz w:val="17"/>
                <w:szCs w:val="17"/>
                <w:b w:val="1"/>
                <w:bCs w:val="1"/>
                <w:color w:val="auto"/>
              </w:rPr>
              <w:t>June 30, 2020</w:t>
            </w:r>
          </w:p>
        </w:tc>
        <w:tc>
          <w:tcPr>
            <w:tcW w:w="2140" w:type="dxa"/>
            <w:vAlign w:val="bottom"/>
            <w:gridSpan w:val="2"/>
          </w:tcPr>
          <w:p>
            <w:pPr>
              <w:ind w:left="320"/>
              <w:spacing w:after="0"/>
              <w:rPr>
                <w:sz w:val="20"/>
                <w:szCs w:val="20"/>
                <w:color w:val="auto"/>
              </w:rPr>
            </w:pPr>
            <w:r>
              <w:rPr>
                <w:rFonts w:ascii="Arial" w:cs="Arial" w:eastAsia="Arial" w:hAnsi="Arial"/>
                <w:sz w:val="17"/>
                <w:szCs w:val="17"/>
                <w:b w:val="1"/>
                <w:bCs w:val="1"/>
                <w:color w:val="auto"/>
              </w:rPr>
              <w:t>December 31, 2019</w:t>
            </w:r>
          </w:p>
        </w:tc>
        <w:tc>
          <w:tcPr>
            <w:tcW w:w="2000" w:type="dxa"/>
            <w:vAlign w:val="bottom"/>
          </w:tcPr>
          <w:p>
            <w:pPr>
              <w:jc w:val="right"/>
              <w:ind w:right="435"/>
              <w:spacing w:after="0"/>
              <w:rPr>
                <w:sz w:val="20"/>
                <w:szCs w:val="20"/>
                <w:color w:val="auto"/>
              </w:rPr>
            </w:pPr>
            <w:r>
              <w:rPr>
                <w:rFonts w:ascii="Arial" w:cs="Arial" w:eastAsia="Arial" w:hAnsi="Arial"/>
                <w:sz w:val="17"/>
                <w:szCs w:val="17"/>
                <w:b w:val="1"/>
                <w:bCs w:val="1"/>
                <w:color w:val="auto"/>
              </w:rPr>
              <w:t>June 30, 2019</w:t>
            </w:r>
          </w:p>
        </w:tc>
      </w:tr>
      <w:tr>
        <w:trPr>
          <w:trHeight w:val="26"/>
        </w:trPr>
        <w:tc>
          <w:tcPr>
            <w:tcW w:w="50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385"/>
        </w:trPr>
        <w:tc>
          <w:tcPr>
            <w:tcW w:w="5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2"/>
          </w:tcPr>
          <w:p>
            <w:pPr>
              <w:jc w:val="center"/>
              <w:ind w:right="20"/>
              <w:spacing w:after="0"/>
              <w:rPr>
                <w:sz w:val="20"/>
                <w:szCs w:val="20"/>
                <w:color w:val="auto"/>
              </w:rPr>
            </w:pPr>
            <w:r>
              <w:rPr>
                <w:rFonts w:ascii="Arial" w:cs="Arial" w:eastAsia="Arial" w:hAnsi="Arial"/>
                <w:sz w:val="17"/>
                <w:szCs w:val="17"/>
                <w:i w:val="1"/>
                <w:iCs w:val="1"/>
                <w:color w:val="auto"/>
                <w:w w:val="96"/>
              </w:rPr>
              <w:t>(In millions)</w:t>
            </w:r>
          </w:p>
        </w:tc>
        <w:tc>
          <w:tcPr>
            <w:tcW w:w="2000" w:type="dxa"/>
            <w:vAlign w:val="bottom"/>
          </w:tcPr>
          <w:p>
            <w:pPr>
              <w:spacing w:after="0"/>
              <w:rPr>
                <w:sz w:val="24"/>
                <w:szCs w:val="24"/>
                <w:color w:val="auto"/>
              </w:rPr>
            </w:pPr>
          </w:p>
        </w:tc>
      </w:tr>
      <w:tr>
        <w:trPr>
          <w:trHeight w:val="26"/>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8"/>
        </w:trPr>
        <w:tc>
          <w:tcPr>
            <w:tcW w:w="50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ARR</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w:t>
            </w:r>
          </w:p>
        </w:tc>
      </w:tr>
      <w:tr>
        <w:trPr>
          <w:trHeight w:val="26"/>
        </w:trPr>
        <w:tc>
          <w:tcPr>
            <w:tcW w:w="50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3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Paying users</w:t>
      </w:r>
    </w:p>
    <w:p>
      <w:pPr>
        <w:spacing w:after="0" w:line="109" w:lineRule="exact"/>
        <w:rPr>
          <w:sz w:val="20"/>
          <w:szCs w:val="20"/>
          <w:color w:val="auto"/>
        </w:rPr>
      </w:pPr>
    </w:p>
    <w:p>
      <w:pPr>
        <w:ind w:right="60" w:firstLine="406"/>
        <w:spacing w:after="0" w:line="257"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78" w:lineRule="exact"/>
        <w:rPr>
          <w:sz w:val="20"/>
          <w:szCs w:val="20"/>
          <w:color w:val="auto"/>
        </w:rPr>
      </w:pPr>
    </w:p>
    <w:p>
      <w:pPr>
        <w:ind w:right="200" w:firstLine="406"/>
        <w:spacing w:after="0" w:line="272" w:lineRule="auto"/>
        <w:rPr>
          <w:sz w:val="20"/>
          <w:szCs w:val="20"/>
          <w:color w:val="auto"/>
        </w:rPr>
      </w:pPr>
      <w:r>
        <w:rPr>
          <w:rFonts w:ascii="Arial" w:cs="Arial" w:eastAsia="Arial" w:hAnsi="Arial"/>
          <w:sz w:val="17"/>
          <w:szCs w:val="17"/>
          <w:color w:val="auto"/>
        </w:rPr>
        <w:t>We have experienced growth in the number of paying users across our products, with the majority of paying users for the periods presented coming from our self-serve channels.</w:t>
      </w:r>
    </w:p>
    <w:p>
      <w:pPr>
        <w:spacing w:after="0" w:line="166" w:lineRule="exact"/>
        <w:rPr>
          <w:sz w:val="20"/>
          <w:szCs w:val="20"/>
          <w:color w:val="auto"/>
        </w:rPr>
      </w:pPr>
    </w:p>
    <w:p>
      <w:pPr>
        <w:ind w:right="180" w:firstLine="406"/>
        <w:spacing w:after="0" w:line="274" w:lineRule="auto"/>
        <w:rPr>
          <w:sz w:val="20"/>
          <w:szCs w:val="20"/>
          <w:color w:val="auto"/>
        </w:rPr>
      </w:pPr>
      <w:r>
        <w:rPr>
          <w:rFonts w:ascii="Arial" w:cs="Arial" w:eastAsia="Arial" w:hAnsi="Arial"/>
          <w:sz w:val="16"/>
          <w:szCs w:val="16"/>
          <w:color w:val="auto"/>
        </w:rPr>
        <w:t>We acquired HelloSign in the first quarter of fiscal 2019. 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below table sets forth the number of paying users as of June 30, 2020, December 31, 2019, and June 30,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20"/>
          </w:cols>
          <w:pgMar w:left="320" w:top="123" w:right="3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920"/>
        <w:spacing w:after="0"/>
        <w:rPr>
          <w:sz w:val="20"/>
          <w:szCs w:val="20"/>
          <w:color w:val="auto"/>
        </w:rPr>
      </w:pPr>
      <w:r>
        <w:rPr>
          <w:rFonts w:ascii="Arial" w:cs="Arial" w:eastAsia="Arial" w:hAnsi="Arial"/>
          <w:sz w:val="17"/>
          <w:szCs w:val="17"/>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31115</wp:posOffset>
            </wp:positionV>
            <wp:extent cx="3997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9732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960" w:type="dxa"/>
            <w:vAlign w:val="bottom"/>
          </w:tcPr>
          <w:p>
            <w:pPr>
              <w:spacing w:after="0"/>
              <w:rPr>
                <w:sz w:val="19"/>
                <w:szCs w:val="19"/>
                <w:color w:val="auto"/>
              </w:rPr>
            </w:pPr>
          </w:p>
        </w:tc>
        <w:tc>
          <w:tcPr>
            <w:tcW w:w="1560" w:type="dxa"/>
            <w:vAlign w:val="bottom"/>
          </w:tcPr>
          <w:p>
            <w:pPr>
              <w:ind w:left="520"/>
              <w:spacing w:after="0"/>
              <w:rPr>
                <w:sz w:val="20"/>
                <w:szCs w:val="20"/>
                <w:color w:val="auto"/>
              </w:rPr>
            </w:pPr>
            <w:r>
              <w:rPr>
                <w:rFonts w:ascii="Arial" w:cs="Arial" w:eastAsia="Arial" w:hAnsi="Arial"/>
                <w:sz w:val="17"/>
                <w:szCs w:val="17"/>
                <w:b w:val="1"/>
                <w:bCs w:val="1"/>
                <w:color w:val="auto"/>
                <w:w w:val="92"/>
              </w:rPr>
              <w:t>June 30, 2020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December 31, 2019</w:t>
            </w:r>
          </w:p>
        </w:tc>
        <w:tc>
          <w:tcPr>
            <w:tcW w:w="2000" w:type="dxa"/>
            <w:vAlign w:val="bottom"/>
          </w:tcPr>
          <w:p>
            <w:pPr>
              <w:jc w:val="right"/>
              <w:ind w:right="415"/>
              <w:spacing w:after="0"/>
              <w:rPr>
                <w:sz w:val="20"/>
                <w:szCs w:val="20"/>
                <w:color w:val="auto"/>
              </w:rPr>
            </w:pPr>
            <w:r>
              <w:rPr>
                <w:rFonts w:ascii="Arial" w:cs="Arial" w:eastAsia="Arial" w:hAnsi="Arial"/>
                <w:sz w:val="17"/>
                <w:szCs w:val="17"/>
                <w:b w:val="1"/>
                <w:bCs w:val="1"/>
                <w:color w:val="auto"/>
              </w:rPr>
              <w:t>June 30, 2019</w:t>
            </w:r>
          </w:p>
        </w:tc>
      </w:tr>
      <w:tr>
        <w:trPr>
          <w:trHeight w:val="26"/>
        </w:trPr>
        <w:tc>
          <w:tcPr>
            <w:tcW w:w="49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385"/>
        </w:trPr>
        <w:tc>
          <w:tcPr>
            <w:tcW w:w="4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6"/>
              </w:rPr>
              <w:t>(In millions)</w:t>
            </w:r>
          </w:p>
        </w:tc>
        <w:tc>
          <w:tcPr>
            <w:tcW w:w="2000" w:type="dxa"/>
            <w:vAlign w:val="bottom"/>
          </w:tcPr>
          <w:p>
            <w:pPr>
              <w:spacing w:after="0"/>
              <w:rPr>
                <w:sz w:val="24"/>
                <w:szCs w:val="24"/>
                <w:color w:val="auto"/>
              </w:rPr>
            </w:pPr>
          </w:p>
        </w:tc>
      </w:tr>
      <w:tr>
        <w:trPr>
          <w:trHeight w:val="26"/>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Paying users</w:t>
            </w:r>
          </w:p>
        </w:tc>
        <w:tc>
          <w:tcPr>
            <w:tcW w:w="4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6"/>
              </w:rPr>
              <w:t>15.0</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13.6</w:t>
            </w:r>
          </w:p>
        </w:tc>
      </w:tr>
      <w:tr>
        <w:trPr>
          <w:trHeight w:val="26"/>
        </w:trPr>
        <w:tc>
          <w:tcPr>
            <w:tcW w:w="49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Average revenue per paying user</w:t>
      </w:r>
    </w:p>
    <w:p>
      <w:pPr>
        <w:spacing w:after="0" w:line="109" w:lineRule="exact"/>
        <w:rPr>
          <w:sz w:val="20"/>
          <w:szCs w:val="20"/>
          <w:color w:val="auto"/>
        </w:rPr>
      </w:pPr>
    </w:p>
    <w:p>
      <w:pPr>
        <w:ind w:right="20" w:firstLine="406"/>
        <w:spacing w:after="0" w:line="257"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78" w:lineRule="exact"/>
        <w:rPr>
          <w:sz w:val="20"/>
          <w:szCs w:val="20"/>
          <w:color w:val="auto"/>
        </w:rPr>
      </w:pPr>
    </w:p>
    <w:p>
      <w:pPr>
        <w:ind w:right="60" w:firstLine="406"/>
        <w:spacing w:after="0" w:line="257" w:lineRule="auto"/>
        <w:rPr>
          <w:sz w:val="20"/>
          <w:szCs w:val="20"/>
          <w:color w:val="auto"/>
        </w:rPr>
      </w:pPr>
      <w:r>
        <w:rPr>
          <w:rFonts w:ascii="Arial" w:cs="Arial" w:eastAsia="Arial" w:hAnsi="Arial"/>
          <w:sz w:val="17"/>
          <w:szCs w:val="17"/>
          <w:color w:val="auto"/>
        </w:rPr>
        <w:t>In the second quarter of 2019, we repackaged our existing Dropbox Plus plans to include additional features and, as a result, increased the price for new and existing users on this plan. For certain existing users, the increase in price is effective on their next renewal date. As a result of the price increase, and combined with an increased mix of sales towards our higher-priced subscription plans, we experienced an increase in our average revenue per paying user for the three and six months ended June 30, 2020, compared to the three and six months ended June 30, 2019.</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below table sets forth our ARPU for the three and six months ended June 30, 2020 and 2019.</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91"/>
              </w:rPr>
              <w:t>Three Months Ended</w:t>
            </w:r>
          </w:p>
        </w:tc>
        <w:tc>
          <w:tcPr>
            <w:tcW w:w="280" w:type="dxa"/>
            <w:vAlign w:val="bottom"/>
          </w:tcPr>
          <w:p>
            <w:pPr>
              <w:spacing w:after="0"/>
              <w:rPr>
                <w:sz w:val="17"/>
                <w:szCs w:val="17"/>
                <w:color w:val="auto"/>
              </w:rPr>
            </w:pPr>
          </w:p>
        </w:tc>
        <w:tc>
          <w:tcPr>
            <w:tcW w:w="2260" w:type="dxa"/>
            <w:vAlign w:val="bottom"/>
            <w:gridSpan w:val="4"/>
          </w:tcPr>
          <w:p>
            <w:pPr>
              <w:jc w:val="center"/>
              <w:ind w:right="155"/>
              <w:spacing w:after="0"/>
              <w:rPr>
                <w:sz w:val="20"/>
                <w:szCs w:val="20"/>
                <w:color w:val="auto"/>
              </w:rPr>
            </w:pPr>
            <w:r>
              <w:rPr>
                <w:rFonts w:ascii="Arial" w:cs="Arial" w:eastAsia="Arial" w:hAnsi="Arial"/>
                <w:sz w:val="17"/>
                <w:szCs w:val="17"/>
                <w:b w:val="1"/>
                <w:bCs w:val="1"/>
                <w:color w:val="auto"/>
                <w:w w:val="90"/>
              </w:rPr>
              <w:t>Six Months Ended</w:t>
            </w:r>
          </w:p>
        </w:tc>
      </w:tr>
      <w:tr>
        <w:trPr>
          <w:trHeight w:val="219"/>
        </w:trPr>
        <w:tc>
          <w:tcPr>
            <w:tcW w:w="30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3"/>
          </w:tcPr>
          <w:p>
            <w:pPr>
              <w:jc w:val="center"/>
              <w:ind w:left="555"/>
              <w:spacing w:after="0"/>
              <w:rPr>
                <w:sz w:val="20"/>
                <w:szCs w:val="20"/>
                <w:color w:val="auto"/>
              </w:rPr>
            </w:pPr>
            <w:r>
              <w:rPr>
                <w:rFonts w:ascii="Arial" w:cs="Arial" w:eastAsia="Arial" w:hAnsi="Arial"/>
                <w:sz w:val="17"/>
                <w:szCs w:val="17"/>
                <w:b w:val="1"/>
                <w:bCs w:val="1"/>
                <w:color w:val="auto"/>
                <w:w w:val="88"/>
              </w:rPr>
              <w:t>June 30,</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jc w:val="center"/>
              <w:ind w:left="535"/>
              <w:spacing w:after="0"/>
              <w:rPr>
                <w:sz w:val="20"/>
                <w:szCs w:val="20"/>
                <w:color w:val="auto"/>
              </w:rPr>
            </w:pPr>
            <w:r>
              <w:rPr>
                <w:rFonts w:ascii="Arial" w:cs="Arial" w:eastAsia="Arial" w:hAnsi="Arial"/>
                <w:sz w:val="17"/>
                <w:szCs w:val="17"/>
                <w:b w:val="1"/>
                <w:bCs w:val="1"/>
                <w:color w:val="auto"/>
                <w:w w:val="91"/>
              </w:rPr>
              <w:t>June 30,</w:t>
            </w:r>
          </w:p>
        </w:tc>
        <w:tc>
          <w:tcPr>
            <w:tcW w:w="860" w:type="dxa"/>
            <w:vAlign w:val="bottom"/>
          </w:tcPr>
          <w:p>
            <w:pPr>
              <w:spacing w:after="0"/>
              <w:rPr>
                <w:sz w:val="19"/>
                <w:szCs w:val="19"/>
                <w:color w:val="auto"/>
              </w:rPr>
            </w:pPr>
          </w:p>
        </w:tc>
      </w:tr>
      <w:tr>
        <w:trPr>
          <w:trHeight w:val="26"/>
        </w:trPr>
        <w:tc>
          <w:tcPr>
            <w:tcW w:w="30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0"/>
        </w:trPr>
        <w:tc>
          <w:tcPr>
            <w:tcW w:w="30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355"/>
              <w:spacing w:after="0"/>
              <w:rPr>
                <w:sz w:val="20"/>
                <w:szCs w:val="20"/>
                <w:color w:val="auto"/>
              </w:rPr>
            </w:pPr>
            <w:r>
              <w:rPr>
                <w:rFonts w:ascii="Arial" w:cs="Arial" w:eastAsia="Arial" w:hAnsi="Arial"/>
                <w:sz w:val="17"/>
                <w:szCs w:val="17"/>
                <w:b w:val="1"/>
                <w:bCs w:val="1"/>
                <w:color w:val="auto"/>
              </w:rPr>
              <w:t>2019</w:t>
            </w:r>
          </w:p>
        </w:tc>
      </w:tr>
      <w:tr>
        <w:trPr>
          <w:trHeight w:val="26"/>
        </w:trPr>
        <w:tc>
          <w:tcPr>
            <w:tcW w:w="30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07"/>
        </w:trPr>
        <w:tc>
          <w:tcPr>
            <w:tcW w:w="30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34"/>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ARPU</w:t>
            </w:r>
          </w:p>
        </w:tc>
        <w:tc>
          <w:tcPr>
            <w:tcW w:w="3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126.88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120.48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126.41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120.83</w:t>
            </w:r>
          </w:p>
        </w:tc>
      </w:tr>
      <w:tr>
        <w:trPr>
          <w:trHeight w:val="405"/>
        </w:trPr>
        <w:tc>
          <w:tcPr>
            <w:tcW w:w="3000" w:type="dxa"/>
            <w:vAlign w:val="bottom"/>
          </w:tcPr>
          <w:p>
            <w:pPr>
              <w:spacing w:after="0"/>
              <w:rPr>
                <w:sz w:val="24"/>
                <w:szCs w:val="24"/>
                <w:color w:val="auto"/>
              </w:rPr>
            </w:pPr>
          </w:p>
        </w:tc>
        <w:tc>
          <w:tcPr>
            <w:tcW w:w="2960" w:type="dxa"/>
            <w:vAlign w:val="bottom"/>
          </w:tcPr>
          <w:p>
            <w:pPr>
              <w:jc w:val="right"/>
              <w:ind w:right="175"/>
              <w:spacing w:after="0"/>
              <w:rPr>
                <w:sz w:val="20"/>
                <w:szCs w:val="20"/>
                <w:color w:val="auto"/>
              </w:rPr>
            </w:pPr>
            <w:r>
              <w:rPr>
                <w:rFonts w:ascii="Arial" w:cs="Arial" w:eastAsia="Arial" w:hAnsi="Arial"/>
                <w:sz w:val="17"/>
                <w:szCs w:val="17"/>
                <w:color w:val="auto"/>
              </w:rPr>
              <w:t>39</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w:t>
      </w:r>
    </w:p>
    <w:p>
      <w:pPr>
        <w:spacing w:after="0" w:line="215" w:lineRule="exact"/>
        <w:rPr>
          <w:sz w:val="20"/>
          <w:szCs w:val="20"/>
          <w:color w:val="auto"/>
        </w:rPr>
      </w:pPr>
    </w:p>
    <w:p>
      <w:pPr>
        <w:ind w:right="20" w:firstLine="406"/>
        <w:spacing w:after="0" w:line="272"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Free cash flow</w:t>
      </w:r>
    </w:p>
    <w:p>
      <w:pPr>
        <w:spacing w:after="0" w:line="109" w:lineRule="exact"/>
        <w:rPr>
          <w:sz w:val="20"/>
          <w:szCs w:val="20"/>
          <w:color w:val="auto"/>
        </w:rPr>
      </w:pPr>
    </w:p>
    <w:p>
      <w:pPr>
        <w:ind w:right="100" w:firstLine="406"/>
        <w:spacing w:after="0" w:line="253"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and may be calculated differently by other companies in our industry, limiting its usefulness as a comparative measure.</w:t>
      </w:r>
    </w:p>
    <w:p>
      <w:pPr>
        <w:spacing w:after="0" w:line="182" w:lineRule="exact"/>
        <w:rPr>
          <w:sz w:val="20"/>
          <w:szCs w:val="20"/>
          <w:color w:val="auto"/>
        </w:rPr>
      </w:pPr>
    </w:p>
    <w:p>
      <w:pPr>
        <w:ind w:right="120" w:firstLine="406"/>
        <w:spacing w:after="0" w:line="272" w:lineRule="auto"/>
        <w:rPr>
          <w:sz w:val="20"/>
          <w:szCs w:val="20"/>
          <w:color w:val="auto"/>
        </w:rPr>
      </w:pPr>
      <w:r>
        <w:rPr>
          <w:rFonts w:ascii="Arial" w:cs="Arial" w:eastAsia="Arial" w:hAnsi="Arial"/>
          <w:sz w:val="17"/>
          <w:szCs w:val="17"/>
          <w:color w:val="auto"/>
        </w:rPr>
        <w:t>Our FCF increased for the six months ended June 30, 2020, compared to the six months ended June 30, 2019, primarily due to an increase in cash provided by operating activities, which was driven by increased subscription sales, as a majority of our paying users are invoiced in advance.</w:t>
      </w:r>
    </w:p>
    <w:p>
      <w:pPr>
        <w:spacing w:after="0" w:line="166" w:lineRule="exact"/>
        <w:rPr>
          <w:sz w:val="20"/>
          <w:szCs w:val="20"/>
          <w:color w:val="auto"/>
        </w:rPr>
      </w:pPr>
    </w:p>
    <w:p>
      <w:pPr>
        <w:ind w:right="60" w:firstLine="406"/>
        <w:spacing w:after="0" w:line="272" w:lineRule="auto"/>
        <w:rPr>
          <w:sz w:val="20"/>
          <w:szCs w:val="20"/>
          <w:color w:val="auto"/>
        </w:rPr>
      </w:pPr>
      <w:r>
        <w:rPr>
          <w:rFonts w:ascii="Arial" w:cs="Arial" w:eastAsia="Arial" w:hAnsi="Arial"/>
          <w:sz w:val="17"/>
          <w:szCs w:val="17"/>
          <w:color w:val="auto"/>
        </w:rPr>
        <w:t>We expect our FCF to fluctuate in future periods as we purchase infrastructure equipment to support our user base. This, along with certain increased operating expenses as described below, may result in FCF to vary from period to period as a percentage of revenue.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is a reconciliation of FCF to the most comparable GAAP measure, net cash provided by operating activities:</w:t>
      </w:r>
    </w:p>
    <w:p>
      <w:pPr>
        <w:spacing w:after="0" w:line="156" w:lineRule="exact"/>
        <w:rPr>
          <w:sz w:val="20"/>
          <w:szCs w:val="20"/>
          <w:color w:val="auto"/>
        </w:rPr>
      </w:pPr>
    </w:p>
    <w:p>
      <w:pPr>
        <w:jc w:val="center"/>
        <w:ind w:left="7780"/>
        <w:spacing w:after="0"/>
        <w:rPr>
          <w:sz w:val="20"/>
          <w:szCs w:val="20"/>
          <w:color w:val="auto"/>
        </w:rPr>
      </w:pPr>
      <w:r>
        <w:rPr>
          <w:rFonts w:ascii="Arial" w:cs="Arial" w:eastAsia="Arial" w:hAnsi="Arial"/>
          <w:sz w:val="17"/>
          <w:szCs w:val="17"/>
          <w:b w:val="1"/>
          <w:bCs w:val="1"/>
          <w:color w:val="auto"/>
        </w:rPr>
        <w:t>Six Months Ended</w:t>
      </w:r>
    </w:p>
    <w:p>
      <w:pPr>
        <w:spacing w:after="0" w:line="23" w:lineRule="exact"/>
        <w:rPr>
          <w:sz w:val="20"/>
          <w:szCs w:val="20"/>
          <w:color w:val="auto"/>
        </w:rPr>
      </w:pPr>
    </w:p>
    <w:p>
      <w:pPr>
        <w:jc w:val="center"/>
        <w:ind w:left="7780"/>
        <w:spacing w:after="0"/>
        <w:rPr>
          <w:sz w:val="20"/>
          <w:szCs w:val="20"/>
          <w:color w:val="auto"/>
        </w:rPr>
      </w:pPr>
      <w:r>
        <w:rPr>
          <w:rFonts w:ascii="Arial" w:cs="Arial" w:eastAsia="Arial" w:hAnsi="Arial"/>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4933315</wp:posOffset>
            </wp:positionH>
            <wp:positionV relativeFrom="paragraph">
              <wp:posOffset>21590</wp:posOffset>
            </wp:positionV>
            <wp:extent cx="2208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0853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80" w:type="dxa"/>
            <w:vAlign w:val="bottom"/>
          </w:tcPr>
          <w:p>
            <w:pPr>
              <w:spacing w:after="0"/>
              <w:rPr>
                <w:sz w:val="19"/>
                <w:szCs w:val="19"/>
                <w:color w:val="auto"/>
              </w:rPr>
            </w:pPr>
          </w:p>
        </w:tc>
        <w:tc>
          <w:tcPr>
            <w:tcW w:w="47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2020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ind w:right="57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41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3"/>
          </w:tcPr>
          <w:p>
            <w:pPr>
              <w:jc w:val="right"/>
              <w:ind w:right="75"/>
              <w:spacing w:after="0"/>
              <w:rPr>
                <w:sz w:val="20"/>
                <w:szCs w:val="20"/>
                <w:color w:val="auto"/>
              </w:rPr>
            </w:pPr>
            <w:r>
              <w:rPr>
                <w:rFonts w:ascii="Arial" w:cs="Arial" w:eastAsia="Arial" w:hAnsi="Arial"/>
                <w:sz w:val="17"/>
                <w:szCs w:val="17"/>
                <w:i w:val="1"/>
                <w:iCs w:val="1"/>
                <w:color w:val="auto"/>
              </w:rPr>
              <w:t>(In millions)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199.2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192.0</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3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6"/>
        </w:trPr>
        <w:tc>
          <w:tcPr>
            <w:tcW w:w="418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47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128.6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1975"/>
              <w:spacing w:after="0"/>
              <w:rPr>
                <w:sz w:val="20"/>
                <w:szCs w:val="20"/>
                <w:color w:val="auto"/>
              </w:rPr>
            </w:pPr>
            <w:r>
              <w:rPr>
                <w:rFonts w:ascii="Arial" w:cs="Arial" w:eastAsia="Arial" w:hAnsi="Arial"/>
                <w:sz w:val="17"/>
                <w:szCs w:val="17"/>
                <w:color w:val="auto"/>
              </w:rPr>
              <w:t>40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1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Revenue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generate revenue from sales of subscriptions to our platform.</w:t>
      </w:r>
    </w:p>
    <w:p>
      <w:pPr>
        <w:spacing w:after="0" w:line="211" w:lineRule="exact"/>
        <w:rPr>
          <w:sz w:val="20"/>
          <w:szCs w:val="20"/>
          <w:color w:val="auto"/>
        </w:rPr>
      </w:pPr>
    </w:p>
    <w:p>
      <w:pPr>
        <w:ind w:right="280" w:firstLine="406"/>
        <w:spacing w:after="0" w:line="278" w:lineRule="auto"/>
        <w:rPr>
          <w:sz w:val="20"/>
          <w:szCs w:val="20"/>
          <w:color w:val="auto"/>
        </w:rPr>
      </w:pPr>
      <w:r>
        <w:rPr>
          <w:rFonts w:ascii="Arial" w:cs="Arial" w:eastAsia="Arial" w:hAnsi="Arial"/>
          <w:sz w:val="16"/>
          <w:szCs w:val="16"/>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63" w:lineRule="exact"/>
        <w:rPr>
          <w:sz w:val="20"/>
          <w:szCs w:val="20"/>
          <w:color w:val="auto"/>
        </w:rPr>
      </w:pPr>
    </w:p>
    <w:p>
      <w:pPr>
        <w:ind w:right="40" w:firstLine="406"/>
        <w:spacing w:after="0" w:line="261" w:lineRule="auto"/>
        <w:rPr>
          <w:sz w:val="20"/>
          <w:szCs w:val="20"/>
          <w:color w:val="auto"/>
        </w:rPr>
      </w:pPr>
      <w:r>
        <w:rPr>
          <w:rFonts w:ascii="Arial" w:cs="Arial" w:eastAsia="Arial" w:hAnsi="Arial"/>
          <w:sz w:val="17"/>
          <w:szCs w:val="17"/>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09" w:lineRule="exact"/>
        <w:rPr>
          <w:sz w:val="20"/>
          <w:szCs w:val="20"/>
          <w:color w:val="auto"/>
        </w:rPr>
      </w:pPr>
    </w:p>
    <w:p>
      <w:pPr>
        <w:ind w:right="80" w:firstLine="406"/>
        <w:spacing w:after="0" w:line="26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 paying users</w:t>
      </w:r>
      <w:r>
        <w:rPr>
          <w:rFonts w:ascii="Arial" w:cs="Arial" w:eastAsia="Arial" w:hAnsi="Arial"/>
          <w:sz w:val="16"/>
          <w:szCs w:val="16"/>
          <w:i w:val="1"/>
          <w:iCs w:val="1"/>
          <w:color w:val="auto"/>
        </w:rPr>
        <w:t xml:space="preserve"> </w:t>
      </w:r>
      <w:r>
        <w:rPr>
          <w:rFonts w:ascii="Arial" w:cs="Arial" w:eastAsia="Arial" w:hAnsi="Arial"/>
          <w:sz w:val="16"/>
          <w:szCs w:val="16"/>
          <w:color w:val="auto"/>
        </w:rPr>
        <w:t>and free users, also 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75" w:lineRule="exact"/>
        <w:rPr>
          <w:sz w:val="20"/>
          <w:szCs w:val="20"/>
          <w:color w:val="auto"/>
        </w:rPr>
      </w:pPr>
    </w:p>
    <w:p>
      <w:pPr>
        <w:ind w:right="260" w:firstLine="406"/>
        <w:spacing w:after="0" w:line="272" w:lineRule="auto"/>
        <w:rPr>
          <w:sz w:val="20"/>
          <w:szCs w:val="20"/>
          <w:color w:val="auto"/>
        </w:rPr>
      </w:pPr>
      <w:r>
        <w:rPr>
          <w:rFonts w:ascii="Arial" w:cs="Arial" w:eastAsia="Arial" w:hAnsi="Arial"/>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66" w:lineRule="exact"/>
        <w:rPr>
          <w:sz w:val="20"/>
          <w:szCs w:val="20"/>
          <w:color w:val="auto"/>
        </w:rPr>
      </w:pPr>
    </w:p>
    <w:p>
      <w:pPr>
        <w:jc w:val="both"/>
        <w:ind w:right="120" w:firstLine="406"/>
        <w:spacing w:after="0" w:line="311"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is gross profit expressed as a percentage of revenue. Our gross margin may fluctuate from period to period based on the timing of</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capital expenditures and the related depreciation expense, or other increases in our infrastructure costs, as well as revenue fluctuations. As we continue to utilize our internal infrastructure, we generally expect our gross margin to remain relatively constant in the near term and to increase modestly in the long term.</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9" w:lineRule="exact"/>
        <w:rPr>
          <w:sz w:val="20"/>
          <w:szCs w:val="20"/>
          <w:color w:val="auto"/>
        </w:rPr>
      </w:pPr>
    </w:p>
    <w:p>
      <w:pPr>
        <w:ind w:firstLine="406"/>
        <w:spacing w:after="0" w:line="284"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consist primarily of employee-related costs for our engineering, product, and design teams,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expenses related to key personnel from acquisitions and allocated overhead. Additionally, research and development expenses include internal development-related third-party hosting fees. We have expensed almost all of our research and development costs as they were incurred.</w:t>
      </w:r>
    </w:p>
    <w:p>
      <w:pPr>
        <w:spacing w:after="0" w:line="159" w:lineRule="exact"/>
        <w:rPr>
          <w:sz w:val="20"/>
          <w:szCs w:val="20"/>
          <w:color w:val="auto"/>
        </w:rPr>
      </w:pPr>
    </w:p>
    <w:p>
      <w:pPr>
        <w:ind w:right="100" w:firstLine="406"/>
        <w:spacing w:after="0" w:line="305" w:lineRule="auto"/>
        <w:rPr>
          <w:sz w:val="20"/>
          <w:szCs w:val="20"/>
          <w:color w:val="auto"/>
        </w:rPr>
      </w:pPr>
      <w:r>
        <w:rPr>
          <w:rFonts w:ascii="Arial" w:cs="Arial" w:eastAsia="Arial" w:hAnsi="Arial"/>
          <w:sz w:val="16"/>
          <w:szCs w:val="16"/>
          <w:color w:val="auto"/>
        </w:rPr>
        <w:t>We plan to continue hiring employees for our engineering, product, and design teams to support our research and development efforts. We expect that research and development costs will increase in absolute dollars in future periods and vary from period to period as a percentage of revenue.</w:t>
      </w:r>
    </w:p>
    <w:p>
      <w:pPr>
        <w:spacing w:after="0" w:line="142" w:lineRule="exact"/>
        <w:rPr>
          <w:sz w:val="20"/>
          <w:szCs w:val="20"/>
          <w:color w:val="auto"/>
        </w:rPr>
      </w:pPr>
    </w:p>
    <w:p>
      <w:pPr>
        <w:ind w:right="60" w:firstLine="406"/>
        <w:spacing w:after="0" w:line="297"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 costs,</w:t>
      </w:r>
      <w:r>
        <w:rPr>
          <w:rFonts w:ascii="Arial" w:cs="Arial" w:eastAsia="Arial" w:hAnsi="Arial"/>
          <w:sz w:val="15"/>
          <w:szCs w:val="15"/>
          <w:i w:val="1"/>
          <w:iCs w:val="1"/>
          <w:color w:val="auto"/>
        </w:rPr>
        <w:t xml:space="preserve"> </w:t>
      </w:r>
      <w:r>
        <w:rPr>
          <w:rFonts w:ascii="Arial" w:cs="Arial" w:eastAsia="Arial" w:hAnsi="Arial"/>
          <w:sz w:val="15"/>
          <w:szCs w:val="15"/>
          <w:color w:val="auto"/>
        </w:rPr>
        <w:t>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51" w:lineRule="exact"/>
        <w:rPr>
          <w:sz w:val="20"/>
          <w:szCs w:val="20"/>
          <w:color w:val="auto"/>
        </w:rPr>
      </w:pPr>
    </w:p>
    <w:p>
      <w:pPr>
        <w:ind w:right="200" w:firstLine="406"/>
        <w:spacing w:after="0" w:line="272" w:lineRule="auto"/>
        <w:rPr>
          <w:sz w:val="20"/>
          <w:szCs w:val="20"/>
          <w:color w:val="auto"/>
        </w:rPr>
      </w:pPr>
      <w:r>
        <w:rPr>
          <w:rFonts w:ascii="Arial" w:cs="Arial" w:eastAsia="Arial" w:hAnsi="Arial"/>
          <w:sz w:val="17"/>
          <w:szCs w:val="17"/>
          <w:color w:val="auto"/>
        </w:rPr>
        <w:t>We plan to continue to invest in sales and marketing to grow our user base and increase our brand awareness, including marketing efforts to continue to drive our self-serve business model. We expect that sales and marketing expenses will increase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23"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in absolute dollars in future periods and vary from period to period as a percentage of revenue. The trend and timing of sales and marketing expenses will depend in part on the timing of marketing campaigns.</w:t>
      </w:r>
    </w:p>
    <w:p>
      <w:pPr>
        <w:spacing w:after="0" w:line="166" w:lineRule="exact"/>
        <w:rPr>
          <w:sz w:val="20"/>
          <w:szCs w:val="20"/>
          <w:color w:val="auto"/>
        </w:rPr>
      </w:pPr>
    </w:p>
    <w:p>
      <w:pPr>
        <w:jc w:val="both"/>
        <w:ind w:right="40" w:firstLine="406"/>
        <w:spacing w:after="0" w:line="261"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 resources,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administrative teams, as well as certain executives. In addition, general and administrative expenses include allocated overhead, outside legal, accounting and other professional fees, and non-income based taxes.</w:t>
      </w:r>
    </w:p>
    <w:p>
      <w:pPr>
        <w:spacing w:after="0" w:line="175" w:lineRule="exact"/>
        <w:rPr>
          <w:sz w:val="20"/>
          <w:szCs w:val="20"/>
          <w:color w:val="auto"/>
        </w:rPr>
      </w:pPr>
    </w:p>
    <w:p>
      <w:pPr>
        <w:ind w:firstLine="406"/>
        <w:spacing w:after="0" w:line="284" w:lineRule="auto"/>
        <w:rPr>
          <w:sz w:val="20"/>
          <w:szCs w:val="20"/>
          <w:color w:val="auto"/>
        </w:rPr>
      </w:pPr>
      <w:r>
        <w:rPr>
          <w:rFonts w:ascii="Arial" w:cs="Arial" w:eastAsia="Arial" w:hAnsi="Arial"/>
          <w:sz w:val="16"/>
          <w:szCs w:val="16"/>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increase in absolute dollars in future periods and vary from period to period as a percentage of revenue.</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109" w:lineRule="exact"/>
        <w:rPr>
          <w:sz w:val="20"/>
          <w:szCs w:val="20"/>
          <w:color w:val="auto"/>
        </w:rPr>
      </w:pPr>
    </w:p>
    <w:p>
      <w:pPr>
        <w:ind w:right="100" w:firstLine="406"/>
        <w:spacing w:after="0" w:line="272" w:lineRule="auto"/>
        <w:rPr>
          <w:sz w:val="20"/>
          <w:szCs w:val="20"/>
          <w:color w:val="auto"/>
        </w:rPr>
      </w:pPr>
      <w:r>
        <w:rPr>
          <w:rFonts w:ascii="Arial" w:cs="Arial" w:eastAsia="Arial" w:hAnsi="Arial"/>
          <w:sz w:val="17"/>
          <w:szCs w:val="17"/>
          <w:color w:val="auto"/>
        </w:rPr>
        <w:t>Interest income (expense), net consists primarily of interest income earned on our money market funds classified as cash and cash equivalents and short-term investments, partially offset by interest expense related to our finance lease obligations for infrastructure.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09" w:lineRule="exact"/>
        <w:rPr>
          <w:sz w:val="20"/>
          <w:szCs w:val="20"/>
          <w:color w:val="auto"/>
        </w:rPr>
      </w:pPr>
    </w:p>
    <w:p>
      <w:pPr>
        <w:ind w:right="120" w:firstLine="406"/>
        <w:spacing w:after="0" w:line="305" w:lineRule="auto"/>
        <w:rPr>
          <w:sz w:val="20"/>
          <w:szCs w:val="20"/>
          <w:color w:val="auto"/>
        </w:rPr>
      </w:pPr>
      <w:r>
        <w:rPr>
          <w:rFonts w:ascii="Arial" w:cs="Arial" w:eastAsia="Arial" w:hAnsi="Arial"/>
          <w:sz w:val="16"/>
          <w:szCs w:val="16"/>
          <w:color w:val="auto"/>
        </w:rPr>
        <w:t>Other income (expense), net consists of other non-operating gains or losses, including those related to equity investments, lease arrangements, which include sublease income, foreign currency transaction gains and losses, and realized gains and losses related to our short-term investments.</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109" w:lineRule="exact"/>
        <w:rPr>
          <w:sz w:val="20"/>
          <w:szCs w:val="20"/>
          <w:color w:val="auto"/>
        </w:rPr>
      </w:pPr>
    </w:p>
    <w:p>
      <w:pPr>
        <w:ind w:right="140" w:firstLine="406"/>
        <w:spacing w:after="0" w:line="255" w:lineRule="auto"/>
        <w:rPr>
          <w:sz w:val="20"/>
          <w:szCs w:val="20"/>
          <w:color w:val="auto"/>
        </w:rPr>
      </w:pPr>
      <w:r>
        <w:rPr>
          <w:rFonts w:ascii="Arial" w:cs="Arial" w:eastAsia="Arial" w:hAnsi="Arial"/>
          <w:sz w:val="17"/>
          <w:szCs w:val="17"/>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140"/>
          </w:cols>
          <w:pgMar w:left="320" w:top="123" w:right="4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Pr>
          <w:p>
            <w:pPr>
              <w:ind w:left="380"/>
              <w:spacing w:after="0"/>
              <w:rPr>
                <w:sz w:val="20"/>
                <w:szCs w:val="20"/>
                <w:color w:val="auto"/>
              </w:rPr>
            </w:pPr>
            <w:r>
              <w:rPr>
                <w:rFonts w:ascii="Arial" w:cs="Arial" w:eastAsia="Arial" w:hAnsi="Arial"/>
                <w:sz w:val="17"/>
                <w:szCs w:val="17"/>
                <w:color w:val="auto"/>
              </w:rPr>
              <w:t>The following tables set forth our results of operations for the periods presented: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670"/>
        </w:trPr>
        <w:tc>
          <w:tcPr>
            <w:tcW w:w="6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Pr>
          <w:p>
            <w:pPr>
              <w:spacing w:after="0"/>
              <w:rPr>
                <w:sz w:val="24"/>
                <w:szCs w:val="24"/>
                <w:color w:val="auto"/>
              </w:rPr>
            </w:pPr>
          </w:p>
        </w:tc>
        <w:tc>
          <w:tcPr>
            <w:tcW w:w="1940" w:type="dxa"/>
            <w:vAlign w:val="bottom"/>
            <w:gridSpan w:val="3"/>
          </w:tcPr>
          <w:p>
            <w:pPr>
              <w:jc w:val="right"/>
              <w:ind w:right="375"/>
              <w:spacing w:after="0"/>
              <w:rPr>
                <w:sz w:val="20"/>
                <w:szCs w:val="20"/>
                <w:color w:val="auto"/>
              </w:rPr>
            </w:pPr>
            <w:r>
              <w:rPr>
                <w:rFonts w:ascii="Arial" w:cs="Arial" w:eastAsia="Arial" w:hAnsi="Arial"/>
                <w:sz w:val="17"/>
                <w:szCs w:val="17"/>
                <w:b w:val="1"/>
                <w:bCs w:val="1"/>
                <w:color w:val="auto"/>
                <w:w w:val="99"/>
              </w:rPr>
              <w:t>Six Months Ended</w:t>
            </w:r>
          </w:p>
        </w:tc>
      </w:tr>
      <w:tr>
        <w:trPr>
          <w:trHeight w:val="219"/>
        </w:trPr>
        <w:tc>
          <w:tcPr>
            <w:tcW w:w="6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b w:val="1"/>
                <w:bCs w:val="1"/>
                <w:color w:val="auto"/>
              </w:rPr>
              <w:t>June 30,</w:t>
            </w:r>
          </w:p>
        </w:tc>
        <w:tc>
          <w:tcPr>
            <w:tcW w:w="780" w:type="dxa"/>
            <w:vAlign w:val="bottom"/>
          </w:tcPr>
          <w:p>
            <w:pPr>
              <w:spacing w:after="0"/>
              <w:rPr>
                <w:sz w:val="19"/>
                <w:szCs w:val="19"/>
                <w:color w:val="auto"/>
              </w:rPr>
            </w:pPr>
          </w:p>
        </w:tc>
      </w:tr>
      <w:tr>
        <w:trPr>
          <w:trHeight w:val="26"/>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0"/>
        </w:trPr>
        <w:tc>
          <w:tcPr>
            <w:tcW w:w="6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35"/>
              <w:spacing w:after="0"/>
              <w:rPr>
                <w:sz w:val="20"/>
                <w:szCs w:val="20"/>
                <w:color w:val="auto"/>
              </w:rPr>
            </w:pPr>
            <w:r>
              <w:rPr>
                <w:rFonts w:ascii="Arial" w:cs="Arial" w:eastAsia="Arial" w:hAnsi="Arial"/>
                <w:sz w:val="17"/>
                <w:szCs w:val="17"/>
                <w:b w:val="1"/>
                <w:bCs w:val="1"/>
                <w:color w:val="auto"/>
                <w:w w:val="89"/>
              </w:rPr>
              <w:t>2020</w:t>
            </w:r>
          </w:p>
        </w:tc>
        <w:tc>
          <w:tcPr>
            <w:tcW w:w="380" w:type="dxa"/>
            <w:vAlign w:val="bottom"/>
          </w:tcPr>
          <w:p>
            <w:pPr>
              <w:spacing w:after="0"/>
              <w:rPr>
                <w:sz w:val="19"/>
                <w:szCs w:val="19"/>
                <w:color w:val="auto"/>
              </w:rPr>
            </w:pPr>
          </w:p>
        </w:tc>
        <w:tc>
          <w:tcPr>
            <w:tcW w:w="780" w:type="dxa"/>
            <w:vAlign w:val="bottom"/>
          </w:tcPr>
          <w:p>
            <w:pPr>
              <w:jc w:val="right"/>
              <w:ind w:right="295"/>
              <w:spacing w:after="0"/>
              <w:rPr>
                <w:sz w:val="20"/>
                <w:szCs w:val="20"/>
                <w:color w:val="auto"/>
              </w:rPr>
            </w:pPr>
            <w:r>
              <w:rPr>
                <w:rFonts w:ascii="Arial" w:cs="Arial" w:eastAsia="Arial" w:hAnsi="Arial"/>
                <w:sz w:val="17"/>
                <w:szCs w:val="17"/>
                <w:b w:val="1"/>
                <w:bCs w:val="1"/>
                <w:color w:val="auto"/>
              </w:rPr>
              <w:t>2019</w:t>
            </w:r>
          </w:p>
        </w:tc>
      </w:tr>
      <w:tr>
        <w:trPr>
          <w:trHeight w:val="26"/>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35"/>
        </w:trPr>
        <w:tc>
          <w:tcPr>
            <w:tcW w:w="6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i w:val="1"/>
                <w:iCs w:val="1"/>
                <w:color w:val="auto"/>
              </w:rPr>
              <w:t>(In millions)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467.4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922.4</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787.1</w:t>
            </w:r>
          </w:p>
        </w:tc>
      </w:tr>
      <w:tr>
        <w:trPr>
          <w:trHeight w:val="254"/>
        </w:trPr>
        <w:tc>
          <w:tcPr>
            <w:tcW w:w="6420" w:type="dxa"/>
            <w:vAlign w:val="bottom"/>
            <w:tcBorders>
              <w:bottom w:val="single" w:sz="8" w:color="CCEEFF"/>
            </w:tcBorders>
          </w:tcPr>
          <w:p>
            <w:pPr>
              <w:ind w:left="360"/>
              <w:spacing w:after="0" w:line="254"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102.5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102.9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205.6</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201.3</w:t>
            </w:r>
          </w:p>
        </w:tc>
      </w:tr>
      <w:tr>
        <w:trPr>
          <w:trHeight w:val="22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364.9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298.6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716.8</w:t>
            </w:r>
          </w:p>
        </w:tc>
        <w:tc>
          <w:tcPr>
            <w:tcW w:w="3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585.8</w:t>
            </w:r>
          </w:p>
        </w:tc>
      </w:tr>
      <w:tr>
        <w:trPr>
          <w:trHeight w:val="254"/>
        </w:trPr>
        <w:tc>
          <w:tcPr>
            <w:tcW w:w="6420" w:type="dxa"/>
            <w:vAlign w:val="bottom"/>
          </w:tcPr>
          <w:p>
            <w:pPr>
              <w:ind w:left="20"/>
              <w:spacing w:after="0" w:line="254" w:lineRule="exact"/>
              <w:rPr>
                <w:sz w:val="20"/>
                <w:szCs w:val="20"/>
                <w:color w:val="auto"/>
              </w:rPr>
            </w:pPr>
            <w:r>
              <w:rPr>
                <w:rFonts w:ascii="Arial" w:cs="Arial" w:eastAsia="Arial" w:hAnsi="Arial"/>
                <w:sz w:val="17"/>
                <w:szCs w:val="17"/>
                <w:color w:val="auto"/>
              </w:rPr>
              <w:t>Operating expenses</w:t>
            </w:r>
            <w:r>
              <w:rPr>
                <w:rFonts w:ascii="Arial" w:cs="Arial" w:eastAsia="Arial" w:hAnsi="Arial"/>
                <w:sz w:val="23"/>
                <w:szCs w:val="23"/>
                <w:color w:val="auto"/>
                <w:vertAlign w:val="superscript"/>
              </w:rPr>
              <w:t>(1)</w:t>
            </w: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34"/>
        </w:trPr>
        <w:tc>
          <w:tcPr>
            <w:tcW w:w="6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Research and development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367.6</w:t>
            </w: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312.4</w:t>
            </w:r>
          </w:p>
        </w:tc>
      </w:tr>
      <w:tr>
        <w:trPr>
          <w:trHeight w:val="228"/>
        </w:trPr>
        <w:tc>
          <w:tcPr>
            <w:tcW w:w="6420" w:type="dxa"/>
            <w:vAlign w:val="bottom"/>
          </w:tcPr>
          <w:p>
            <w:pPr>
              <w:ind w:left="360"/>
              <w:spacing w:after="0"/>
              <w:rPr>
                <w:sz w:val="20"/>
                <w:szCs w:val="20"/>
                <w:color w:val="auto"/>
              </w:rPr>
            </w:pPr>
            <w:r>
              <w:rPr>
                <w:rFonts w:ascii="Arial" w:cs="Arial" w:eastAsia="Arial" w:hAnsi="Arial"/>
                <w:sz w:val="17"/>
                <w:szCs w:val="17"/>
                <w:color w:val="auto"/>
              </w:rPr>
              <w:t>Sales and marketing</w:t>
            </w:r>
          </w:p>
        </w:tc>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102.8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107.3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207.1</w:t>
            </w:r>
          </w:p>
        </w:tc>
        <w:tc>
          <w:tcPr>
            <w:tcW w:w="38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208.8</w:t>
            </w:r>
          </w:p>
        </w:tc>
      </w:tr>
      <w:tr>
        <w:trPr>
          <w:trHeight w:val="26"/>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4"/>
        </w:trPr>
        <w:tc>
          <w:tcPr>
            <w:tcW w:w="6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102.5</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119.9</w:t>
            </w:r>
          </w:p>
        </w:tc>
      </w:tr>
      <w:tr>
        <w:trPr>
          <w:trHeight w:val="220"/>
        </w:trPr>
        <w:tc>
          <w:tcPr>
            <w:tcW w:w="642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352.1</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332.6</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677.2</w:t>
            </w: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641.1</w:t>
            </w:r>
          </w:p>
        </w:tc>
      </w:tr>
      <w:tr>
        <w:trPr>
          <w:trHeight w:val="26"/>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39.6</w:t>
            </w:r>
          </w:p>
        </w:tc>
        <w:tc>
          <w:tcPr>
            <w:tcW w:w="3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(55.3)</w:t>
            </w:r>
          </w:p>
        </w:tc>
      </w:tr>
      <w:tr>
        <w:trPr>
          <w:trHeight w:val="228"/>
        </w:trPr>
        <w:tc>
          <w:tcPr>
            <w:tcW w:w="6420" w:type="dxa"/>
            <w:vAlign w:val="bottom"/>
          </w:tcPr>
          <w:p>
            <w:pPr>
              <w:ind w:left="20"/>
              <w:spacing w:after="0"/>
              <w:rPr>
                <w:sz w:val="20"/>
                <w:szCs w:val="20"/>
                <w:color w:val="auto"/>
              </w:rPr>
            </w:pPr>
            <w:r>
              <w:rPr>
                <w:rFonts w:ascii="Arial" w:cs="Arial" w:eastAsia="Arial" w:hAnsi="Arial"/>
                <w:sz w:val="17"/>
                <w:szCs w:val="17"/>
                <w:color w:val="auto"/>
              </w:rPr>
              <w:t>Interest income, net</w:t>
            </w:r>
          </w:p>
        </w:tc>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2.5</w:t>
            </w:r>
          </w:p>
        </w:tc>
        <w:tc>
          <w:tcPr>
            <w:tcW w:w="38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6.9</w:t>
            </w:r>
          </w:p>
        </w:tc>
      </w:tr>
      <w:tr>
        <w:trPr>
          <w:trHeight w:val="26"/>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19.6</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w:t>
            </w:r>
          </w:p>
        </w:tc>
      </w:tr>
      <w:tr>
        <w:trPr>
          <w:trHeight w:val="220"/>
        </w:trPr>
        <w:tc>
          <w:tcPr>
            <w:tcW w:w="642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21.9</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61.7</w:t>
            </w: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(34.2)</w:t>
            </w:r>
          </w:p>
        </w:tc>
      </w:tr>
      <w:tr>
        <w:trPr>
          <w:trHeight w:val="26"/>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w:t>
            </w:r>
          </w:p>
        </w:tc>
      </w:tr>
      <w:tr>
        <w:trPr>
          <w:trHeight w:val="220"/>
        </w:trPr>
        <w:tc>
          <w:tcPr>
            <w:tcW w:w="64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56.8</w:t>
            </w:r>
          </w:p>
        </w:tc>
        <w:tc>
          <w:tcPr>
            <w:tcW w:w="38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w:t>
            </w:r>
          </w:p>
        </w:tc>
      </w:tr>
      <w:tr>
        <w:trPr>
          <w:trHeight w:val="26"/>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00" w:hanging="148"/>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stock-based compensation as follows:</w:t>
      </w:r>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Pr>
          <w:p>
            <w:pPr>
              <w:spacing w:after="0"/>
              <w:rPr>
                <w:sz w:val="17"/>
                <w:szCs w:val="17"/>
                <w:color w:val="auto"/>
              </w:rPr>
            </w:pPr>
          </w:p>
        </w:tc>
        <w:tc>
          <w:tcPr>
            <w:tcW w:w="1940" w:type="dxa"/>
            <w:vAlign w:val="bottom"/>
            <w:gridSpan w:val="4"/>
          </w:tcPr>
          <w:p>
            <w:pPr>
              <w:jc w:val="right"/>
              <w:ind w:right="375"/>
              <w:spacing w:after="0"/>
              <w:rPr>
                <w:sz w:val="20"/>
                <w:szCs w:val="20"/>
                <w:color w:val="auto"/>
              </w:rPr>
            </w:pPr>
            <w:r>
              <w:rPr>
                <w:rFonts w:ascii="Arial" w:cs="Arial" w:eastAsia="Arial" w:hAnsi="Arial"/>
                <w:sz w:val="17"/>
                <w:szCs w:val="17"/>
                <w:b w:val="1"/>
                <w:bCs w:val="1"/>
                <w:color w:val="auto"/>
                <w:w w:val="99"/>
              </w:rPr>
              <w:t>Six Months Ended</w:t>
            </w:r>
          </w:p>
        </w:tc>
      </w:tr>
      <w:tr>
        <w:trPr>
          <w:trHeight w:val="219"/>
        </w:trPr>
        <w:tc>
          <w:tcPr>
            <w:tcW w:w="6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780" w:type="dxa"/>
            <w:vAlign w:val="bottom"/>
          </w:tcPr>
          <w:p>
            <w:pPr>
              <w:spacing w:after="0"/>
              <w:rPr>
                <w:sz w:val="19"/>
                <w:szCs w:val="19"/>
                <w:color w:val="auto"/>
              </w:rPr>
            </w:pPr>
          </w:p>
        </w:tc>
      </w:tr>
      <w:tr>
        <w:trPr>
          <w:trHeight w:val="26"/>
        </w:trPr>
        <w:tc>
          <w:tcPr>
            <w:tcW w:w="6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0"/>
        </w:trPr>
        <w:tc>
          <w:tcPr>
            <w:tcW w:w="6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295"/>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295"/>
              <w:spacing w:after="0"/>
              <w:rPr>
                <w:sz w:val="20"/>
                <w:szCs w:val="20"/>
                <w:color w:val="auto"/>
              </w:rPr>
            </w:pPr>
            <w:r>
              <w:rPr>
                <w:rFonts w:ascii="Arial" w:cs="Arial" w:eastAsia="Arial" w:hAnsi="Arial"/>
                <w:sz w:val="17"/>
                <w:szCs w:val="17"/>
                <w:b w:val="1"/>
                <w:bCs w:val="1"/>
                <w:color w:val="auto"/>
              </w:rPr>
              <w:t>2019</w:t>
            </w:r>
          </w:p>
        </w:tc>
      </w:tr>
      <w:tr>
        <w:trPr>
          <w:trHeight w:val="26"/>
        </w:trPr>
        <w:tc>
          <w:tcPr>
            <w:tcW w:w="6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35"/>
        </w:trPr>
        <w:tc>
          <w:tcPr>
            <w:tcW w:w="6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i w:val="1"/>
                <w:iCs w:val="1"/>
                <w:color w:val="auto"/>
              </w:rPr>
              <w:t>(In millions)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4"/>
        </w:trPr>
        <w:tc>
          <w:tcPr>
            <w:tcW w:w="6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w:t>
            </w:r>
          </w:p>
        </w:tc>
      </w:tr>
      <w:tr>
        <w:trPr>
          <w:trHeight w:val="228"/>
        </w:trPr>
        <w:tc>
          <w:tcPr>
            <w:tcW w:w="638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47.0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68.2</w:t>
            </w:r>
          </w:p>
        </w:tc>
      </w:tr>
      <w:tr>
        <w:trPr>
          <w:trHeight w:val="26"/>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4"/>
        </w:trPr>
        <w:tc>
          <w:tcPr>
            <w:tcW w:w="6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15.9</w:t>
            </w:r>
          </w:p>
        </w:tc>
      </w:tr>
      <w:tr>
        <w:trPr>
          <w:trHeight w:val="254"/>
        </w:trPr>
        <w:tc>
          <w:tcPr>
            <w:tcW w:w="6380" w:type="dxa"/>
            <w:vAlign w:val="bottom"/>
            <w:tcBorders>
              <w:bottom w:val="single" w:sz="8" w:color="CCEEFF"/>
            </w:tcBorders>
          </w:tcPr>
          <w:p>
            <w:pPr>
              <w:ind w:left="340"/>
              <w:spacing w:after="0" w:line="254"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31.9</w:t>
            </w:r>
          </w:p>
        </w:tc>
      </w:tr>
      <w:tr>
        <w:trPr>
          <w:trHeight w:val="25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0" w:right="40" w:hanging="8"/>
        <w:spacing w:after="0" w:line="251" w:lineRule="auto"/>
        <w:tabs>
          <w:tab w:leader="none" w:pos="204"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23" w:right="3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3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our results of operations for each of the periods presented as a percentage of revenue: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600" w:type="dxa"/>
            <w:vAlign w:val="bottom"/>
            <w:gridSpan w:val="5"/>
          </w:tcPr>
          <w:p>
            <w:pPr>
              <w:jc w:val="center"/>
              <w:ind w:right="60"/>
              <w:spacing w:after="0"/>
              <w:rPr>
                <w:sz w:val="20"/>
                <w:szCs w:val="20"/>
                <w:color w:val="auto"/>
              </w:rPr>
            </w:pPr>
            <w:r>
              <w:rPr>
                <w:rFonts w:ascii="Arial" w:cs="Arial" w:eastAsia="Arial" w:hAnsi="Arial"/>
                <w:sz w:val="17"/>
                <w:szCs w:val="17"/>
                <w:b w:val="1"/>
                <w:bCs w:val="1"/>
                <w:color w:val="auto"/>
                <w:w w:val="91"/>
              </w:rPr>
              <w:t>Three Months Ended</w:t>
            </w:r>
          </w:p>
        </w:tc>
        <w:tc>
          <w:tcPr>
            <w:tcW w:w="2500" w:type="dxa"/>
            <w:vAlign w:val="bottom"/>
            <w:gridSpan w:val="4"/>
          </w:tcPr>
          <w:p>
            <w:pPr>
              <w:jc w:val="center"/>
              <w:spacing w:after="0"/>
              <w:rPr>
                <w:sz w:val="20"/>
                <w:szCs w:val="20"/>
                <w:color w:val="auto"/>
              </w:rPr>
            </w:pPr>
            <w:r>
              <w:rPr>
                <w:rFonts w:ascii="Arial" w:cs="Arial" w:eastAsia="Arial" w:hAnsi="Arial"/>
                <w:sz w:val="17"/>
                <w:szCs w:val="17"/>
                <w:b w:val="1"/>
                <w:bCs w:val="1"/>
                <w:color w:val="auto"/>
                <w:w w:val="90"/>
              </w:rPr>
              <w:t>Six Months Ended</w:t>
            </w:r>
          </w:p>
        </w:tc>
      </w:tr>
      <w:tr>
        <w:trPr>
          <w:trHeight w:val="219"/>
        </w:trPr>
        <w:tc>
          <w:tcPr>
            <w:tcW w:w="6140" w:type="dxa"/>
            <w:vAlign w:val="bottom"/>
          </w:tcPr>
          <w:p>
            <w:pPr>
              <w:spacing w:after="0"/>
              <w:rPr>
                <w:sz w:val="19"/>
                <w:szCs w:val="19"/>
                <w:color w:val="auto"/>
              </w:rPr>
            </w:pPr>
          </w:p>
        </w:tc>
        <w:tc>
          <w:tcPr>
            <w:tcW w:w="1660" w:type="dxa"/>
            <w:vAlign w:val="bottom"/>
            <w:gridSpan w:val="3"/>
          </w:tcPr>
          <w:p>
            <w:pPr>
              <w:jc w:val="center"/>
              <w:ind w:left="775"/>
              <w:spacing w:after="0"/>
              <w:rPr>
                <w:sz w:val="20"/>
                <w:szCs w:val="20"/>
                <w:color w:val="auto"/>
              </w:rPr>
            </w:pPr>
            <w:r>
              <w:rPr>
                <w:rFonts w:ascii="Arial" w:cs="Arial" w:eastAsia="Arial" w:hAnsi="Arial"/>
                <w:sz w:val="17"/>
                <w:szCs w:val="17"/>
                <w:b w:val="1"/>
                <w:bCs w:val="1"/>
                <w:color w:val="auto"/>
                <w:w w:val="88"/>
              </w:rPr>
              <w:t>June 30,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center"/>
              <w:ind w:left="775"/>
              <w:spacing w:after="0"/>
              <w:rPr>
                <w:sz w:val="20"/>
                <w:szCs w:val="20"/>
                <w:color w:val="auto"/>
              </w:rPr>
            </w:pPr>
            <w:r>
              <w:rPr>
                <w:rFonts w:ascii="Arial" w:cs="Arial" w:eastAsia="Arial" w:hAnsi="Arial"/>
                <w:sz w:val="17"/>
                <w:szCs w:val="17"/>
                <w:b w:val="1"/>
                <w:bCs w:val="1"/>
                <w:color w:val="auto"/>
                <w:w w:val="88"/>
              </w:rPr>
              <w:t>June 30,</w:t>
            </w:r>
          </w:p>
        </w:tc>
        <w:tc>
          <w:tcPr>
            <w:tcW w:w="840" w:type="dxa"/>
            <w:vAlign w:val="bottom"/>
          </w:tcPr>
          <w:p>
            <w:pPr>
              <w:spacing w:after="0"/>
              <w:rPr>
                <w:sz w:val="19"/>
                <w:szCs w:val="19"/>
                <w:color w:val="auto"/>
              </w:rPr>
            </w:pPr>
          </w:p>
        </w:tc>
      </w:tr>
      <w:tr>
        <w:trPr>
          <w:trHeight w:val="26"/>
        </w:trPr>
        <w:tc>
          <w:tcPr>
            <w:tcW w:w="6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0"/>
        </w:trPr>
        <w:tc>
          <w:tcPr>
            <w:tcW w:w="6140" w:type="dxa"/>
            <w:vAlign w:val="bottom"/>
          </w:tcPr>
          <w:p>
            <w:pPr>
              <w:spacing w:after="0"/>
              <w:rPr>
                <w:sz w:val="19"/>
                <w:szCs w:val="19"/>
                <w:color w:val="auto"/>
              </w:rPr>
            </w:pPr>
          </w:p>
        </w:tc>
        <w:tc>
          <w:tcPr>
            <w:tcW w:w="1200" w:type="dxa"/>
            <w:vAlign w:val="bottom"/>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3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200" w:type="dxa"/>
            <w:vAlign w:val="bottom"/>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35"/>
              <w:spacing w:after="0"/>
              <w:rPr>
                <w:sz w:val="20"/>
                <w:szCs w:val="20"/>
                <w:color w:val="auto"/>
              </w:rPr>
            </w:pPr>
            <w:r>
              <w:rPr>
                <w:rFonts w:ascii="Arial" w:cs="Arial" w:eastAsia="Arial" w:hAnsi="Arial"/>
                <w:sz w:val="17"/>
                <w:szCs w:val="17"/>
                <w:b w:val="1"/>
                <w:bCs w:val="1"/>
                <w:color w:val="auto"/>
              </w:rPr>
              <w:t>2019</w:t>
            </w:r>
          </w:p>
        </w:tc>
      </w:tr>
      <w:tr>
        <w:trPr>
          <w:trHeight w:val="26"/>
        </w:trPr>
        <w:tc>
          <w:tcPr>
            <w:tcW w:w="6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35"/>
        </w:trPr>
        <w:tc>
          <w:tcPr>
            <w:tcW w:w="6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5"/>
          </w:tcPr>
          <w:p>
            <w:pPr>
              <w:ind w:left="240"/>
              <w:spacing w:after="0"/>
              <w:rPr>
                <w:sz w:val="20"/>
                <w:szCs w:val="20"/>
                <w:color w:val="auto"/>
              </w:rPr>
            </w:pPr>
            <w:r>
              <w:rPr>
                <w:rFonts w:ascii="Arial" w:cs="Arial" w:eastAsia="Arial" w:hAnsi="Arial"/>
                <w:sz w:val="17"/>
                <w:szCs w:val="17"/>
                <w:i w:val="1"/>
                <w:iCs w:val="1"/>
                <w:color w:val="auto"/>
              </w:rPr>
              <w:t>(As a % of revenue)</w:t>
            </w:r>
          </w:p>
        </w:tc>
        <w:tc>
          <w:tcPr>
            <w:tcW w:w="840" w:type="dxa"/>
            <w:vAlign w:val="bottom"/>
          </w:tcPr>
          <w:p>
            <w:pPr>
              <w:spacing w:after="0"/>
              <w:rPr>
                <w:sz w:val="24"/>
                <w:szCs w:val="24"/>
                <w:color w:val="auto"/>
              </w:rPr>
            </w:pPr>
          </w:p>
        </w:tc>
      </w:tr>
      <w:tr>
        <w:trPr>
          <w:trHeight w:val="26"/>
        </w:trPr>
        <w:tc>
          <w:tcPr>
            <w:tcW w:w="6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54"/>
        </w:trPr>
        <w:tc>
          <w:tcPr>
            <w:tcW w:w="6140" w:type="dxa"/>
            <w:vAlign w:val="bottom"/>
            <w:tcBorders>
              <w:bottom w:val="single" w:sz="8" w:color="CCEEFF"/>
            </w:tcBorders>
          </w:tcPr>
          <w:p>
            <w:pPr>
              <w:ind w:left="360"/>
              <w:spacing w:after="0" w:line="254"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26</w:t>
            </w:r>
          </w:p>
        </w:tc>
      </w:tr>
      <w:tr>
        <w:trPr>
          <w:trHeight w:val="22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74</w:t>
            </w:r>
          </w:p>
        </w:tc>
      </w:tr>
      <w:tr>
        <w:trPr>
          <w:trHeight w:val="254"/>
        </w:trPr>
        <w:tc>
          <w:tcPr>
            <w:tcW w:w="6140" w:type="dxa"/>
            <w:vAlign w:val="bottom"/>
          </w:tcPr>
          <w:p>
            <w:pPr>
              <w:ind w:left="20"/>
              <w:spacing w:after="0" w:line="254" w:lineRule="exact"/>
              <w:rPr>
                <w:sz w:val="20"/>
                <w:szCs w:val="20"/>
                <w:color w:val="auto"/>
              </w:rPr>
            </w:pPr>
            <w:r>
              <w:rPr>
                <w:rFonts w:ascii="Arial" w:cs="Arial" w:eastAsia="Arial" w:hAnsi="Arial"/>
                <w:sz w:val="17"/>
                <w:szCs w:val="17"/>
                <w:color w:val="auto"/>
              </w:rPr>
              <w:t>Operating expenses</w:t>
            </w:r>
            <w:r>
              <w:rPr>
                <w:rFonts w:ascii="Arial" w:cs="Arial" w:eastAsia="Arial" w:hAnsi="Arial"/>
                <w:sz w:val="23"/>
                <w:szCs w:val="23"/>
                <w:color w:val="auto"/>
                <w:vertAlign w:val="superscript"/>
              </w:rPr>
              <w:t>(1)</w:t>
            </w:r>
            <w:r>
              <w:rPr>
                <w:rFonts w:ascii="Arial" w:cs="Arial" w:eastAsia="Arial" w:hAnsi="Arial"/>
                <w:sz w:val="17"/>
                <w:szCs w:val="17"/>
                <w:color w:val="auto"/>
              </w:rPr>
              <w:t>:</w:t>
            </w: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4"/>
        </w:trPr>
        <w:tc>
          <w:tcPr>
            <w:tcW w:w="6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Research and development</w:t>
            </w: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40</w:t>
            </w:r>
          </w:p>
        </w:tc>
      </w:tr>
      <w:tr>
        <w:trPr>
          <w:trHeight w:val="228"/>
        </w:trPr>
        <w:tc>
          <w:tcPr>
            <w:tcW w:w="6140" w:type="dxa"/>
            <w:vAlign w:val="bottom"/>
          </w:tcPr>
          <w:p>
            <w:pPr>
              <w:ind w:left="360"/>
              <w:spacing w:after="0"/>
              <w:rPr>
                <w:sz w:val="20"/>
                <w:szCs w:val="20"/>
                <w:color w:val="auto"/>
              </w:rPr>
            </w:pPr>
            <w:r>
              <w:rPr>
                <w:rFonts w:ascii="Arial" w:cs="Arial" w:eastAsia="Arial" w:hAnsi="Arial"/>
                <w:sz w:val="17"/>
                <w:szCs w:val="17"/>
                <w:color w:val="auto"/>
              </w:rPr>
              <w:t>Sales and marketing</w:t>
            </w: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35"/>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35"/>
              <w:spacing w:after="0"/>
              <w:rPr>
                <w:sz w:val="20"/>
                <w:szCs w:val="20"/>
                <w:color w:val="auto"/>
              </w:rPr>
            </w:pPr>
            <w:r>
              <w:rPr>
                <w:rFonts w:ascii="Arial" w:cs="Arial" w:eastAsia="Arial" w:hAnsi="Arial"/>
                <w:sz w:val="17"/>
                <w:szCs w:val="17"/>
                <w:color w:val="auto"/>
              </w:rPr>
              <w:t>27</w:t>
            </w:r>
          </w:p>
        </w:tc>
      </w:tr>
      <w:tr>
        <w:trPr>
          <w:trHeight w:val="26"/>
        </w:trPr>
        <w:tc>
          <w:tcPr>
            <w:tcW w:w="6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4"/>
        </w:trPr>
        <w:tc>
          <w:tcPr>
            <w:tcW w:w="6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15</w:t>
            </w:r>
          </w:p>
        </w:tc>
      </w:tr>
      <w:tr>
        <w:trPr>
          <w:trHeight w:val="220"/>
        </w:trPr>
        <w:tc>
          <w:tcPr>
            <w:tcW w:w="614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12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81</w:t>
            </w:r>
          </w:p>
        </w:tc>
      </w:tr>
      <w:tr>
        <w:trPr>
          <w:trHeight w:val="26"/>
        </w:trPr>
        <w:tc>
          <w:tcPr>
            <w:tcW w:w="6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w:t>
            </w:r>
          </w:p>
        </w:tc>
      </w:tr>
      <w:tr>
        <w:trPr>
          <w:trHeight w:val="228"/>
        </w:trPr>
        <w:tc>
          <w:tcPr>
            <w:tcW w:w="6140" w:type="dxa"/>
            <w:vAlign w:val="bottom"/>
          </w:tcPr>
          <w:p>
            <w:pPr>
              <w:ind w:left="20"/>
              <w:spacing w:after="0"/>
              <w:rPr>
                <w:sz w:val="20"/>
                <w:szCs w:val="20"/>
                <w:color w:val="auto"/>
              </w:rPr>
            </w:pPr>
            <w:r>
              <w:rPr>
                <w:rFonts w:ascii="Arial" w:cs="Arial" w:eastAsia="Arial" w:hAnsi="Arial"/>
                <w:sz w:val="17"/>
                <w:szCs w:val="17"/>
                <w:color w:val="auto"/>
              </w:rPr>
              <w:t>Interest income, net</w:t>
            </w:r>
          </w:p>
        </w:tc>
        <w:tc>
          <w:tcPr>
            <w:tcW w:w="166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66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5"/>
              <w:spacing w:after="0"/>
              <w:rPr>
                <w:sz w:val="20"/>
                <w:szCs w:val="20"/>
                <w:color w:val="auto"/>
              </w:rPr>
            </w:pPr>
            <w:r>
              <w:rPr>
                <w:rFonts w:ascii="Arial" w:cs="Arial" w:eastAsia="Arial" w:hAnsi="Arial"/>
                <w:sz w:val="17"/>
                <w:szCs w:val="17"/>
                <w:color w:val="auto"/>
              </w:rPr>
              <w:t>1</w:t>
            </w:r>
          </w:p>
        </w:tc>
      </w:tr>
      <w:tr>
        <w:trPr>
          <w:trHeight w:val="26"/>
        </w:trPr>
        <w:tc>
          <w:tcPr>
            <w:tcW w:w="6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w:t>
            </w:r>
          </w:p>
        </w:tc>
      </w:tr>
      <w:tr>
        <w:trPr>
          <w:trHeight w:val="220"/>
        </w:trPr>
        <w:tc>
          <w:tcPr>
            <w:tcW w:w="614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2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(4)</w:t>
            </w:r>
          </w:p>
        </w:tc>
      </w:tr>
      <w:tr>
        <w:trPr>
          <w:trHeight w:val="26"/>
        </w:trPr>
        <w:tc>
          <w:tcPr>
            <w:tcW w:w="6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r>
      <w:tr>
        <w:trPr>
          <w:trHeight w:val="220"/>
        </w:trPr>
        <w:tc>
          <w:tcPr>
            <w:tcW w:w="61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6 %</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6"/>
        </w:trPr>
        <w:tc>
          <w:tcPr>
            <w:tcW w:w="6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00" w:hanging="148"/>
        <w:spacing w:after="0"/>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stock-based compensation as a percentage of revenue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040" w:type="dxa"/>
            <w:vAlign w:val="bottom"/>
            <w:gridSpan w:val="4"/>
          </w:tcPr>
          <w:p>
            <w:pPr>
              <w:jc w:val="center"/>
              <w:ind w:left="335"/>
              <w:spacing w:after="0"/>
              <w:rPr>
                <w:sz w:val="20"/>
                <w:szCs w:val="20"/>
                <w:color w:val="auto"/>
              </w:rPr>
            </w:pPr>
            <w:r>
              <w:rPr>
                <w:rFonts w:ascii="Arial" w:cs="Arial" w:eastAsia="Arial" w:hAnsi="Arial"/>
                <w:sz w:val="17"/>
                <w:szCs w:val="17"/>
                <w:b w:val="1"/>
                <w:bCs w:val="1"/>
                <w:color w:val="auto"/>
                <w:w w:val="91"/>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2"/>
          </w:tcPr>
          <w:p>
            <w:pPr>
              <w:jc w:val="right"/>
              <w:ind w:right="455"/>
              <w:spacing w:after="0"/>
              <w:rPr>
                <w:sz w:val="20"/>
                <w:szCs w:val="20"/>
                <w:color w:val="auto"/>
              </w:rPr>
            </w:pPr>
            <w:r>
              <w:rPr>
                <w:rFonts w:ascii="Arial" w:cs="Arial" w:eastAsia="Arial" w:hAnsi="Arial"/>
                <w:sz w:val="17"/>
                <w:szCs w:val="17"/>
                <w:b w:val="1"/>
                <w:bCs w:val="1"/>
                <w:color w:val="auto"/>
              </w:rPr>
              <w:t>Six Months Ended</w:t>
            </w:r>
          </w:p>
        </w:tc>
      </w:tr>
      <w:tr>
        <w:trPr>
          <w:trHeight w:val="219"/>
        </w:trPr>
        <w:tc>
          <w:tcPr>
            <w:tcW w:w="6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gridSpan w:val="3"/>
          </w:tcPr>
          <w:p>
            <w:pPr>
              <w:jc w:val="center"/>
              <w:ind w:right="295"/>
              <w:spacing w:after="0"/>
              <w:rPr>
                <w:sz w:val="20"/>
                <w:szCs w:val="20"/>
                <w:color w:val="auto"/>
              </w:rPr>
            </w:pPr>
            <w:r>
              <w:rPr>
                <w:rFonts w:ascii="Arial" w:cs="Arial" w:eastAsia="Arial" w:hAnsi="Arial"/>
                <w:sz w:val="17"/>
                <w:szCs w:val="17"/>
                <w:b w:val="1"/>
                <w:bCs w:val="1"/>
                <w:color w:val="auto"/>
                <w:w w:val="88"/>
              </w:rPr>
              <w:t>June 30,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820" w:type="dxa"/>
            <w:vAlign w:val="bottom"/>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0"/>
        </w:trPr>
        <w:tc>
          <w:tcPr>
            <w:tcW w:w="7060" w:type="dxa"/>
            <w:vAlign w:val="bottom"/>
            <w:gridSpan w:val="2"/>
          </w:tcPr>
          <w:p>
            <w:pPr>
              <w:ind w:left="6680"/>
              <w:spacing w:after="0"/>
              <w:rPr>
                <w:sz w:val="20"/>
                <w:szCs w:val="20"/>
                <w:color w:val="auto"/>
              </w:rPr>
            </w:pPr>
            <w:r>
              <w:rPr>
                <w:rFonts w:ascii="Arial" w:cs="Arial" w:eastAsia="Arial" w:hAnsi="Arial"/>
                <w:sz w:val="17"/>
                <w:szCs w:val="17"/>
                <w:b w:val="1"/>
                <w:bCs w:val="1"/>
                <w:color w:val="auto"/>
                <w:w w:val="95"/>
              </w:rPr>
              <w:t>2020</w:t>
            </w:r>
          </w:p>
        </w:tc>
        <w:tc>
          <w:tcPr>
            <w:tcW w:w="126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ind w:right="775"/>
              <w:spacing w:after="0"/>
              <w:rPr>
                <w:sz w:val="20"/>
                <w:szCs w:val="20"/>
                <w:color w:val="auto"/>
              </w:rPr>
            </w:pPr>
            <w:r>
              <w:rPr>
                <w:rFonts w:ascii="Arial" w:cs="Arial" w:eastAsia="Arial" w:hAnsi="Arial"/>
                <w:sz w:val="17"/>
                <w:szCs w:val="17"/>
                <w:b w:val="1"/>
                <w:bCs w:val="1"/>
                <w:color w:val="auto"/>
              </w:rPr>
              <w:t>2020</w:t>
            </w:r>
          </w:p>
        </w:tc>
        <w:tc>
          <w:tcPr>
            <w:tcW w:w="820" w:type="dxa"/>
            <w:vAlign w:val="bottom"/>
          </w:tcPr>
          <w:p>
            <w:pPr>
              <w:jc w:val="right"/>
              <w:ind w:right="315"/>
              <w:spacing w:after="0"/>
              <w:rPr>
                <w:sz w:val="20"/>
                <w:szCs w:val="20"/>
                <w:color w:val="auto"/>
              </w:rPr>
            </w:pPr>
            <w:r>
              <w:rPr>
                <w:rFonts w:ascii="Arial" w:cs="Arial" w:eastAsia="Arial" w:hAnsi="Arial"/>
                <w:sz w:val="17"/>
                <w:szCs w:val="17"/>
                <w:b w:val="1"/>
                <w:bCs w:val="1"/>
                <w:color w:val="auto"/>
              </w:rPr>
              <w:t>2019</w:t>
            </w:r>
          </w:p>
        </w:tc>
      </w:tr>
      <w:tr>
        <w:trPr>
          <w:trHeight w:val="26"/>
        </w:trPr>
        <w:tc>
          <w:tcPr>
            <w:tcW w:w="6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35"/>
        </w:trPr>
        <w:tc>
          <w:tcPr>
            <w:tcW w:w="6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4"/>
          </w:tcPr>
          <w:p>
            <w:pPr>
              <w:jc w:val="right"/>
              <w:ind w:right="895"/>
              <w:spacing w:after="0"/>
              <w:rPr>
                <w:sz w:val="20"/>
                <w:szCs w:val="20"/>
                <w:color w:val="auto"/>
              </w:rPr>
            </w:pPr>
            <w:r>
              <w:rPr>
                <w:rFonts w:ascii="Arial" w:cs="Arial" w:eastAsia="Arial" w:hAnsi="Arial"/>
                <w:sz w:val="17"/>
                <w:szCs w:val="17"/>
                <w:i w:val="1"/>
                <w:iCs w:val="1"/>
                <w:color w:val="auto"/>
              </w:rPr>
              <w:t>(As a % of revenue)</w:t>
            </w:r>
          </w:p>
        </w:tc>
        <w:tc>
          <w:tcPr>
            <w:tcW w:w="820" w:type="dxa"/>
            <w:vAlign w:val="bottom"/>
          </w:tcPr>
          <w:p>
            <w:pPr>
              <w:spacing w:after="0"/>
              <w:rPr>
                <w:sz w:val="24"/>
                <w:szCs w:val="24"/>
                <w:color w:val="auto"/>
              </w:rPr>
            </w:pPr>
          </w:p>
        </w:tc>
      </w:tr>
      <w:tr>
        <w:trPr>
          <w:trHeight w:val="26"/>
        </w:trPr>
        <w:tc>
          <w:tcPr>
            <w:tcW w:w="6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4"/>
        </w:trPr>
        <w:tc>
          <w:tcPr>
            <w:tcW w:w="70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Cost of revenue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8"/>
        </w:trPr>
        <w:tc>
          <w:tcPr>
            <w:tcW w:w="7060" w:type="dxa"/>
            <w:vAlign w:val="bottom"/>
            <w:gridSpan w:val="2"/>
          </w:tcPr>
          <w:p>
            <w:pPr>
              <w:ind w:left="360"/>
              <w:spacing w:after="0"/>
              <w:rPr>
                <w:sz w:val="20"/>
                <w:szCs w:val="20"/>
                <w:color w:val="auto"/>
              </w:rPr>
            </w:pPr>
            <w:r>
              <w:rPr>
                <w:rFonts w:ascii="Arial" w:cs="Arial" w:eastAsia="Arial" w:hAnsi="Arial"/>
                <w:sz w:val="17"/>
                <w:szCs w:val="17"/>
                <w:color w:val="auto"/>
              </w:rPr>
              <w:t>Research and development</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w w:val="94"/>
              </w:rPr>
              <w:t>10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620" w:type="dxa"/>
            <w:vAlign w:val="bottom"/>
          </w:tcPr>
          <w:p>
            <w:pPr>
              <w:jc w:val="right"/>
              <w:ind w:right="535"/>
              <w:spacing w:after="0"/>
              <w:rPr>
                <w:sz w:val="20"/>
                <w:szCs w:val="20"/>
                <w:color w:val="auto"/>
              </w:rPr>
            </w:pPr>
            <w:r>
              <w:rPr>
                <w:rFonts w:ascii="Arial" w:cs="Arial" w:eastAsia="Arial" w:hAnsi="Arial"/>
                <w:sz w:val="17"/>
                <w:szCs w:val="17"/>
                <w:color w:val="auto"/>
              </w:rPr>
              <w:t>9</w:t>
            </w: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9</w:t>
            </w:r>
          </w:p>
        </w:tc>
      </w:tr>
      <w:tr>
        <w:trPr>
          <w:trHeight w:val="26"/>
        </w:trPr>
        <w:tc>
          <w:tcPr>
            <w:tcW w:w="6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4"/>
        </w:trPr>
        <w:tc>
          <w:tcPr>
            <w:tcW w:w="70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7"/>
                <w:szCs w:val="17"/>
                <w:color w:val="auto"/>
              </w:rPr>
              <w:t>2</w:t>
            </w:r>
          </w:p>
        </w:tc>
        <w:tc>
          <w:tcPr>
            <w:tcW w:w="8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w:t>
            </w:r>
          </w:p>
        </w:tc>
      </w:tr>
      <w:tr>
        <w:trPr>
          <w:trHeight w:val="254"/>
        </w:trPr>
        <w:tc>
          <w:tcPr>
            <w:tcW w:w="6280" w:type="dxa"/>
            <w:vAlign w:val="bottom"/>
            <w:tcBorders>
              <w:bottom w:val="single" w:sz="8" w:color="CCEEFF"/>
            </w:tcBorders>
          </w:tcPr>
          <w:p>
            <w:pPr>
              <w:ind w:left="360"/>
              <w:spacing w:after="0" w:line="254"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(2)</w:t>
            </w: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1</w:t>
            </w: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w:t>
            </w:r>
          </w:p>
        </w:tc>
      </w:tr>
      <w:tr>
        <w:trPr>
          <w:trHeight w:val="252"/>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16%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13%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0" w:right="40" w:hanging="8"/>
        <w:spacing w:after="0" w:line="251" w:lineRule="auto"/>
        <w:tabs>
          <w:tab w:leader="none" w:pos="204"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123" w:right="3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Comparison of the three months ended June 30, 2020 and 2019</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Revenue</w:t>
      </w:r>
    </w:p>
    <w:p>
      <w:pPr>
        <w:spacing w:after="0" w:line="283" w:lineRule="exact"/>
        <w:rPr>
          <w:sz w:val="20"/>
          <w:szCs w:val="20"/>
          <w:color w:val="auto"/>
        </w:rPr>
      </w:pPr>
    </w:p>
    <w:p>
      <w:pPr>
        <w:jc w:val="center"/>
        <w:ind w:left="1900"/>
        <w:spacing w:after="0"/>
        <w:rPr>
          <w:sz w:val="20"/>
          <w:szCs w:val="20"/>
          <w:color w:val="auto"/>
        </w:rPr>
      </w:pPr>
      <w:r>
        <w:rPr>
          <w:rFonts w:ascii="Arial" w:cs="Arial" w:eastAsia="Arial" w:hAnsi="Arial"/>
          <w:sz w:val="17"/>
          <w:szCs w:val="17"/>
          <w:b w:val="1"/>
          <w:bCs w:val="1"/>
          <w:color w:val="auto"/>
        </w:rPr>
        <w:t>Three Months Ended</w:t>
      </w:r>
    </w:p>
    <w:p>
      <w:pPr>
        <w:spacing w:after="0" w:line="23" w:lineRule="exact"/>
        <w:rPr>
          <w:sz w:val="20"/>
          <w:szCs w:val="20"/>
          <w:color w:val="auto"/>
        </w:rPr>
      </w:pPr>
    </w:p>
    <w:p>
      <w:pPr>
        <w:jc w:val="center"/>
        <w:ind w:left="1900"/>
        <w:spacing w:after="0"/>
        <w:rPr>
          <w:sz w:val="20"/>
          <w:szCs w:val="20"/>
          <w:color w:val="auto"/>
        </w:rPr>
      </w:pPr>
      <w:r>
        <w:rPr>
          <w:rFonts w:ascii="Arial" w:cs="Arial" w:eastAsia="Arial" w:hAnsi="Arial"/>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21590</wp:posOffset>
            </wp:positionV>
            <wp:extent cx="1910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20" w:type="dxa"/>
            <w:vAlign w:val="bottom"/>
          </w:tcPr>
          <w:p>
            <w:pPr>
              <w:jc w:val="right"/>
              <w:ind w:right="29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35"/>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ind w:right="15"/>
              <w:spacing w:after="0"/>
              <w:rPr>
                <w:sz w:val="20"/>
                <w:szCs w:val="20"/>
                <w:color w:val="auto"/>
              </w:rPr>
            </w:pPr>
            <w:r>
              <w:rPr>
                <w:rFonts w:ascii="Arial" w:cs="Arial" w:eastAsia="Arial" w:hAnsi="Arial"/>
                <w:sz w:val="17"/>
                <w:szCs w:val="17"/>
                <w:i w:val="1"/>
                <w:iCs w:val="1"/>
                <w:color w:val="auto"/>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467.4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65.9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6"/>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right="180" w:firstLine="381"/>
        <w:spacing w:after="0" w:line="341" w:lineRule="auto"/>
        <w:rPr>
          <w:sz w:val="20"/>
          <w:szCs w:val="20"/>
          <w:color w:val="auto"/>
        </w:rPr>
      </w:pPr>
      <w:r>
        <w:rPr>
          <w:rFonts w:ascii="Arial" w:cs="Arial" w:eastAsia="Arial" w:hAnsi="Arial"/>
          <w:sz w:val="15"/>
          <w:szCs w:val="15"/>
          <w:color w:val="auto"/>
        </w:rPr>
        <w:t>Revenue increased $65.9 million or 16% during the three months ended June 30, 2020, as compared to the three months ended June 30, 2019. The increase in revenue was driven primarily by an increase in paying users, an increase in the price of our Plus plan, and the adoption of premium plans by our users.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ind w:left="38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40"/>
        </w:trPr>
        <w:tc>
          <w:tcPr>
            <w:tcW w:w="4940" w:type="dxa"/>
            <w:vAlign w:val="bottom"/>
          </w:tcPr>
          <w:p>
            <w:pPr>
              <w:spacing w:after="0"/>
              <w:rPr>
                <w:sz w:val="24"/>
                <w:szCs w:val="24"/>
                <w:color w:val="auto"/>
              </w:rPr>
            </w:pPr>
          </w:p>
        </w:tc>
        <w:tc>
          <w:tcPr>
            <w:tcW w:w="2540" w:type="dxa"/>
            <w:vAlign w:val="bottom"/>
            <w:gridSpan w:val="4"/>
          </w:tcPr>
          <w:p>
            <w:pPr>
              <w:jc w:val="center"/>
              <w:ind w:left="515"/>
              <w:spacing w:after="0"/>
              <w:rPr>
                <w:sz w:val="20"/>
                <w:szCs w:val="20"/>
                <w:color w:val="auto"/>
              </w:rPr>
            </w:pPr>
            <w:r>
              <w:rPr>
                <w:rFonts w:ascii="Arial" w:cs="Arial" w:eastAsia="Arial" w:hAnsi="Arial"/>
                <w:sz w:val="17"/>
                <w:szCs w:val="17"/>
                <w:b w:val="1"/>
                <w:bCs w:val="1"/>
                <w:color w:val="auto"/>
                <w:w w:val="91"/>
              </w:rPr>
              <w:t>Three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9"/>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0" w:type="dxa"/>
            <w:vAlign w:val="bottom"/>
            <w:gridSpan w:val="3"/>
          </w:tcPr>
          <w:p>
            <w:pPr>
              <w:jc w:val="center"/>
              <w:ind w:right="235"/>
              <w:spacing w:after="0"/>
              <w:rPr>
                <w:sz w:val="20"/>
                <w:szCs w:val="20"/>
                <w:color w:val="auto"/>
              </w:rPr>
            </w:pPr>
            <w:r>
              <w:rPr>
                <w:rFonts w:ascii="Arial" w:cs="Arial" w:eastAsia="Arial" w:hAnsi="Arial"/>
                <w:sz w:val="17"/>
                <w:szCs w:val="17"/>
                <w:b w:val="1"/>
                <w:bCs w:val="1"/>
                <w:color w:val="auto"/>
                <w:w w:val="88"/>
              </w:rPr>
              <w:t>June 30,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6"/>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220"/>
        </w:trPr>
        <w:tc>
          <w:tcPr>
            <w:tcW w:w="4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40" w:type="dxa"/>
            <w:vAlign w:val="bottom"/>
          </w:tcPr>
          <w:p>
            <w:pPr>
              <w:ind w:left="380"/>
              <w:spacing w:after="0"/>
              <w:rPr>
                <w:sz w:val="20"/>
                <w:szCs w:val="20"/>
                <w:color w:val="auto"/>
              </w:rPr>
            </w:pPr>
            <w:r>
              <w:rPr>
                <w:rFonts w:ascii="Arial" w:cs="Arial" w:eastAsia="Arial" w:hAnsi="Arial"/>
                <w:sz w:val="17"/>
                <w:szCs w:val="17"/>
                <w:b w:val="1"/>
                <w:bCs w:val="1"/>
                <w:color w:val="auto"/>
              </w:rPr>
              <w:t>% Change</w:t>
            </w:r>
          </w:p>
        </w:tc>
      </w:tr>
      <w:tr>
        <w:trPr>
          <w:trHeight w:val="26"/>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35"/>
        </w:trPr>
        <w:tc>
          <w:tcPr>
            <w:tcW w:w="4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gridSpan w:val="3"/>
          </w:tcPr>
          <w:p>
            <w:pPr>
              <w:jc w:val="center"/>
              <w:ind w:right="235"/>
              <w:spacing w:after="0"/>
              <w:rPr>
                <w:sz w:val="20"/>
                <w:szCs w:val="20"/>
                <w:color w:val="auto"/>
              </w:rPr>
            </w:pPr>
            <w:r>
              <w:rPr>
                <w:rFonts w:ascii="Arial" w:cs="Arial" w:eastAsia="Arial" w:hAnsi="Arial"/>
                <w:sz w:val="17"/>
                <w:szCs w:val="17"/>
                <w:i w:val="1"/>
                <w:iCs w:val="1"/>
                <w:color w:val="auto"/>
                <w:w w:val="96"/>
              </w:rPr>
              <w:t>(In millions)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94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9"/>
              </w:rPr>
              <w:t>102.5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9"/>
              </w:rPr>
              <w:t>102.9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w w:val="97"/>
              </w:rPr>
              <w:t>— %</w:t>
            </w:r>
          </w:p>
        </w:tc>
      </w:tr>
      <w:tr>
        <w:trPr>
          <w:trHeight w:val="228"/>
        </w:trPr>
        <w:tc>
          <w:tcPr>
            <w:tcW w:w="49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940" w:type="dxa"/>
            <w:vAlign w:val="bottom"/>
          </w:tcPr>
          <w:p>
            <w:pPr>
              <w:spacing w:after="0"/>
              <w:rPr>
                <w:sz w:val="19"/>
                <w:szCs w:val="19"/>
                <w:color w:val="auto"/>
              </w:rPr>
            </w:pPr>
          </w:p>
        </w:tc>
        <w:tc>
          <w:tcPr>
            <w:tcW w:w="560" w:type="dxa"/>
            <w:vAlign w:val="bottom"/>
          </w:tcPr>
          <w:p>
            <w:pPr>
              <w:jc w:val="right"/>
              <w:ind w:right="75"/>
              <w:spacing w:after="0"/>
              <w:rPr>
                <w:sz w:val="20"/>
                <w:szCs w:val="20"/>
                <w:color w:val="auto"/>
              </w:rPr>
            </w:pPr>
            <w:r>
              <w:rPr>
                <w:rFonts w:ascii="Arial" w:cs="Arial" w:eastAsia="Arial" w:hAnsi="Arial"/>
                <w:sz w:val="17"/>
                <w:szCs w:val="17"/>
                <w:color w:val="auto"/>
                <w:w w:val="89"/>
              </w:rPr>
              <w:t>364.9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7"/>
                <w:szCs w:val="17"/>
                <w:color w:val="auto"/>
                <w:w w:val="89"/>
              </w:rPr>
              <w:t>298.6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66.3</w:t>
            </w:r>
          </w:p>
        </w:tc>
        <w:tc>
          <w:tcPr>
            <w:tcW w:w="100" w:type="dxa"/>
            <w:vAlign w:val="bottom"/>
          </w:tcPr>
          <w:p>
            <w:pPr>
              <w:spacing w:after="0"/>
              <w:rPr>
                <w:sz w:val="19"/>
                <w:szCs w:val="19"/>
                <w:color w:val="auto"/>
              </w:rPr>
            </w:pPr>
          </w:p>
        </w:tc>
        <w:tc>
          <w:tcPr>
            <w:tcW w:w="1540" w:type="dxa"/>
            <w:vAlign w:val="bottom"/>
          </w:tcPr>
          <w:p>
            <w:pPr>
              <w:ind w:left="1160"/>
              <w:spacing w:after="0"/>
              <w:rPr>
                <w:sz w:val="20"/>
                <w:szCs w:val="20"/>
                <w:color w:val="auto"/>
              </w:rPr>
            </w:pPr>
            <w:r>
              <w:rPr>
                <w:rFonts w:ascii="Arial" w:cs="Arial" w:eastAsia="Arial" w:hAnsi="Arial"/>
                <w:sz w:val="17"/>
                <w:szCs w:val="17"/>
                <w:color w:val="auto"/>
                <w:w w:val="92"/>
              </w:rPr>
              <w:t>22 %</w:t>
            </w:r>
          </w:p>
        </w:tc>
      </w:tr>
      <w:tr>
        <w:trPr>
          <w:trHeight w:val="26"/>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6"/>
        </w:trPr>
        <w:tc>
          <w:tcPr>
            <w:tcW w:w="4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right="80" w:firstLine="381"/>
        <w:spacing w:after="0" w:line="261" w:lineRule="auto"/>
        <w:rPr>
          <w:sz w:val="20"/>
          <w:szCs w:val="20"/>
          <w:color w:val="auto"/>
        </w:rPr>
      </w:pPr>
      <w:r>
        <w:rPr>
          <w:rFonts w:ascii="Arial" w:cs="Arial" w:eastAsia="Arial" w:hAnsi="Arial"/>
          <w:sz w:val="17"/>
          <w:szCs w:val="17"/>
          <w:color w:val="auto"/>
        </w:rPr>
        <w:t>Cost of revenue decreased $0.4 million or 0% during the three months ended June 30, 2020, as compared to the three months ended June 30, 2019, primarily due to a decrease of $3.0 million in infrastructure costs. This decrease was offset by increases of $1.4 million in employee-related costs due to headcount growth and $1.2 million in credit card transaction fees due to higher sales and professional fees for user support.</w:t>
      </w:r>
    </w:p>
    <w:p>
      <w:pPr>
        <w:spacing w:after="0" w:line="98" w:lineRule="exact"/>
        <w:rPr>
          <w:sz w:val="20"/>
          <w:szCs w:val="20"/>
          <w:color w:val="auto"/>
        </w:rPr>
      </w:pPr>
    </w:p>
    <w:p>
      <w:pPr>
        <w:ind w:firstLine="381"/>
        <w:spacing w:after="0" w:line="272" w:lineRule="auto"/>
        <w:rPr>
          <w:sz w:val="20"/>
          <w:szCs w:val="20"/>
          <w:color w:val="auto"/>
        </w:rPr>
      </w:pPr>
      <w:r>
        <w:rPr>
          <w:rFonts w:ascii="Arial" w:cs="Arial" w:eastAsia="Arial" w:hAnsi="Arial"/>
          <w:sz w:val="17"/>
          <w:szCs w:val="17"/>
          <w:color w:val="auto"/>
        </w:rPr>
        <w:t>Our gross margin increased during the three months ended June 30, 2020 compared to the three months ended June 30, 2019, primarily due to a 16% increase in revenue during the period and a decrease in our cost of revenue as described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ind w:left="380"/>
              <w:spacing w:after="0"/>
              <w:rPr>
                <w:sz w:val="20"/>
                <w:szCs w:val="20"/>
                <w:color w:val="auto"/>
              </w:rPr>
            </w:pPr>
            <w:r>
              <w:rPr>
                <w:rFonts w:ascii="Arial" w:cs="Arial" w:eastAsia="Arial" w:hAnsi="Arial"/>
                <w:sz w:val="17"/>
                <w:szCs w:val="17"/>
                <w:i w:val="1"/>
                <w:iCs w:val="1"/>
                <w:color w:val="auto"/>
              </w:rPr>
              <w:t>Research and development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40"/>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91"/>
              </w:rPr>
              <w:t>Three Months Ended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7"/>
                <w:szCs w:val="17"/>
                <w:b w:val="1"/>
                <w:bCs w:val="1"/>
                <w:color w:val="auto"/>
                <w:w w:val="88"/>
              </w:rPr>
              <w:t>June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20"/>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20" w:type="dxa"/>
            <w:vAlign w:val="bottom"/>
          </w:tcPr>
          <w:p>
            <w:pPr>
              <w:jc w:val="right"/>
              <w:ind w:right="29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35"/>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7"/>
                <w:szCs w:val="17"/>
                <w:i w:val="1"/>
                <w:iCs w:val="1"/>
                <w:color w:val="auto"/>
                <w:w w:val="96"/>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6"/>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jc w:val="both"/>
        <w:ind w:right="40" w:firstLine="381"/>
        <w:spacing w:after="0" w:line="272" w:lineRule="auto"/>
        <w:rPr>
          <w:sz w:val="20"/>
          <w:szCs w:val="20"/>
          <w:color w:val="auto"/>
        </w:rPr>
      </w:pPr>
      <w:r>
        <w:rPr>
          <w:rFonts w:ascii="Arial" w:cs="Arial" w:eastAsia="Arial" w:hAnsi="Arial"/>
          <w:sz w:val="17"/>
          <w:szCs w:val="17"/>
          <w:color w:val="auto"/>
        </w:rPr>
        <w:t>Research and development expenses increased $23.4 million or 14% during the three months ended June 30, 2020, as compared to the three months ended June 30, 2019, primarily due to an increase of $20.9 million in employee-related costs due to headcount growth.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ind w:left="380"/>
              <w:spacing w:after="0"/>
              <w:rPr>
                <w:sz w:val="20"/>
                <w:szCs w:val="20"/>
                <w:color w:val="auto"/>
              </w:rPr>
            </w:pPr>
            <w:r>
              <w:rPr>
                <w:rFonts w:ascii="Arial" w:cs="Arial" w:eastAsia="Arial" w:hAnsi="Arial"/>
                <w:sz w:val="17"/>
                <w:szCs w:val="17"/>
                <w:i w:val="1"/>
                <w:iCs w:val="1"/>
                <w:color w:val="auto"/>
              </w:rPr>
              <w:t>Sales and marketing</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40"/>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w w:val="91"/>
              </w:rPr>
              <w:t>Three Months Ended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9"/>
        </w:trPr>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center"/>
              <w:ind w:left="595"/>
              <w:spacing w:after="0"/>
              <w:rPr>
                <w:sz w:val="20"/>
                <w:szCs w:val="20"/>
                <w:color w:val="auto"/>
              </w:rPr>
            </w:pPr>
            <w:r>
              <w:rPr>
                <w:rFonts w:ascii="Arial" w:cs="Arial" w:eastAsia="Arial" w:hAnsi="Arial"/>
                <w:sz w:val="17"/>
                <w:szCs w:val="17"/>
                <w:b w:val="1"/>
                <w:bCs w:val="1"/>
                <w:color w:val="auto"/>
                <w:w w:val="88"/>
              </w:rPr>
              <w:t>June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6"/>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20"/>
        </w:trPr>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35"/>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center"/>
              <w:ind w:left="595"/>
              <w:spacing w:after="0"/>
              <w:rPr>
                <w:sz w:val="20"/>
                <w:szCs w:val="20"/>
                <w:color w:val="auto"/>
              </w:rPr>
            </w:pPr>
            <w:r>
              <w:rPr>
                <w:rFonts w:ascii="Arial" w:cs="Arial" w:eastAsia="Arial" w:hAnsi="Arial"/>
                <w:sz w:val="17"/>
                <w:szCs w:val="17"/>
                <w:i w:val="1"/>
                <w:iCs w:val="1"/>
                <w:color w:val="auto"/>
                <w:w w:val="96"/>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6"/>
        </w:trPr>
        <w:tc>
          <w:tcPr>
            <w:tcW w:w="5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right="60" w:firstLine="381"/>
        <w:spacing w:after="0" w:line="261" w:lineRule="auto"/>
        <w:rPr>
          <w:sz w:val="20"/>
          <w:szCs w:val="20"/>
          <w:color w:val="auto"/>
        </w:rPr>
      </w:pPr>
      <w:r>
        <w:rPr>
          <w:rFonts w:ascii="Arial" w:cs="Arial" w:eastAsia="Arial" w:hAnsi="Arial"/>
          <w:sz w:val="17"/>
          <w:szCs w:val="17"/>
          <w:color w:val="auto"/>
        </w:rPr>
        <w:t>Sales and marketing expenses decreased $4.5 million or 4% during the three months ended June 30, 2020, as compared to the three months ended June 30, 2019, primarily due to decreases of $4.2 million driven by a reduction of events due to the COVID-19 pandemic, $2.0 million in brand marketing expenses, and $1.6 million in allocated overhead, which includes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123" w:right="3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facilities-related costs for our new corporate headquarters. These decreases were offset by an increase of $3.1 million in app store fees due to increased sales.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ind w:left="380"/>
              <w:spacing w:after="0"/>
              <w:rPr>
                <w:sz w:val="20"/>
                <w:szCs w:val="20"/>
                <w:color w:val="auto"/>
              </w:rPr>
            </w:pPr>
            <w:r>
              <w:rPr>
                <w:rFonts w:ascii="Arial" w:cs="Arial" w:eastAsia="Arial" w:hAnsi="Arial"/>
                <w:sz w:val="17"/>
                <w:szCs w:val="17"/>
                <w:i w:val="1"/>
                <w:iCs w:val="1"/>
                <w:color w:val="auto"/>
              </w:rPr>
              <w:t>General and administrative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40"/>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91"/>
              </w:rPr>
              <w:t>Three Months Ended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7"/>
                <w:szCs w:val="17"/>
                <w:b w:val="1"/>
                <w:bCs w:val="1"/>
                <w:color w:val="auto"/>
                <w:w w:val="88"/>
              </w:rPr>
              <w:t>June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20"/>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20" w:type="dxa"/>
            <w:vAlign w:val="bottom"/>
          </w:tcPr>
          <w:p>
            <w:pPr>
              <w:jc w:val="right"/>
              <w:ind w:right="29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35"/>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7"/>
                <w:szCs w:val="17"/>
                <w:i w:val="1"/>
                <w:iCs w:val="1"/>
                <w:color w:val="auto"/>
                <w:w w:val="96"/>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6"/>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318" w:lineRule="exact"/>
        <w:rPr>
          <w:sz w:val="20"/>
          <w:szCs w:val="20"/>
          <w:color w:val="auto"/>
        </w:rPr>
      </w:pPr>
    </w:p>
    <w:p>
      <w:pPr>
        <w:ind w:right="60" w:firstLine="381"/>
        <w:spacing w:after="0" w:line="311" w:lineRule="auto"/>
        <w:rPr>
          <w:sz w:val="20"/>
          <w:szCs w:val="20"/>
          <w:color w:val="auto"/>
        </w:rPr>
      </w:pPr>
      <w:r>
        <w:rPr>
          <w:rFonts w:ascii="Arial" w:cs="Arial" w:eastAsia="Arial" w:hAnsi="Arial"/>
          <w:sz w:val="15"/>
          <w:szCs w:val="15"/>
          <w:color w:val="auto"/>
        </w:rPr>
        <w:t>General and administrative expenses increased $0.6 million or 1% during the three months ended June 30, 2020, as compared to the three months ended June 30, 2019, primarily due to increases of $1.5 million in allocated overhead, which includes facilities-related costs for our new corporate headquarters and $0.9 million in other expenses driven by an increase in charitable contributions. These increases were offset by a decrease of $1.8 million in non-income based taxes.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Interest income (expense), net</w:t>
      </w:r>
    </w:p>
    <w:p>
      <w:pPr>
        <w:spacing w:after="0" w:line="211" w:lineRule="exact"/>
        <w:rPr>
          <w:sz w:val="20"/>
          <w:szCs w:val="20"/>
          <w:color w:val="auto"/>
        </w:rPr>
      </w:pPr>
    </w:p>
    <w:p>
      <w:pPr>
        <w:ind w:right="80" w:firstLine="381"/>
        <w:spacing w:after="0" w:line="261" w:lineRule="auto"/>
        <w:rPr>
          <w:sz w:val="20"/>
          <w:szCs w:val="20"/>
          <w:color w:val="auto"/>
        </w:rPr>
      </w:pPr>
      <w:r>
        <w:rPr>
          <w:rFonts w:ascii="Arial" w:cs="Arial" w:eastAsia="Arial" w:hAnsi="Arial"/>
          <w:sz w:val="17"/>
          <w:szCs w:val="17"/>
          <w:color w:val="auto"/>
        </w:rPr>
        <w:t>Interest income (expense), net decreased $3.1 million during the three months ended June 30, 2020, as compared to the three months ended June 30, 2019, primarily due to a decrease in interest income from our money market funds and short-term investments as a result of government-initiated interest rate reductions in response to the COVID-19 pandemic.</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Other income (expense), net</w:t>
      </w:r>
    </w:p>
    <w:p>
      <w:pPr>
        <w:spacing w:after="0" w:line="211" w:lineRule="exact"/>
        <w:rPr>
          <w:sz w:val="20"/>
          <w:szCs w:val="20"/>
          <w:color w:val="auto"/>
        </w:rPr>
      </w:pPr>
    </w:p>
    <w:p>
      <w:pPr>
        <w:jc w:val="both"/>
        <w:ind w:right="520" w:firstLine="381"/>
        <w:spacing w:after="0" w:line="311" w:lineRule="auto"/>
        <w:rPr>
          <w:sz w:val="20"/>
          <w:szCs w:val="20"/>
          <w:color w:val="auto"/>
        </w:rPr>
      </w:pPr>
      <w:r>
        <w:rPr>
          <w:rFonts w:ascii="Arial" w:cs="Arial" w:eastAsia="Arial" w:hAnsi="Arial"/>
          <w:sz w:val="15"/>
          <w:szCs w:val="15"/>
          <w:color w:val="auto"/>
        </w:rPr>
        <w:t>Other income (expense), net decreased $1.0 million during the three months ended June 30, 2020, as compared to the three months ended June 30, 2019, primarily due to decreases of $1.6 million in other income due to gains on the disposal of infrastructure assets in the three months ended June 30, 2019, and a decrease of $1.0 million in gains related to equity investments. These decreases were offset by foreign currency transaction gains.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11" w:lineRule="exact"/>
        <w:rPr>
          <w:sz w:val="20"/>
          <w:szCs w:val="20"/>
          <w:color w:val="auto"/>
        </w:rPr>
      </w:pPr>
    </w:p>
    <w:p>
      <w:pPr>
        <w:ind w:right="640" w:firstLine="381"/>
        <w:spacing w:after="0" w:line="272" w:lineRule="auto"/>
        <w:rPr>
          <w:sz w:val="20"/>
          <w:szCs w:val="20"/>
          <w:color w:val="auto"/>
        </w:rPr>
      </w:pPr>
      <w:r>
        <w:rPr>
          <w:rFonts w:ascii="Arial" w:cs="Arial" w:eastAsia="Arial" w:hAnsi="Arial"/>
          <w:sz w:val="17"/>
          <w:szCs w:val="17"/>
          <w:color w:val="auto"/>
        </w:rPr>
        <w:t>Provision for income taxes increased $3.8 million during the three months ended June 30, 2020, as compared to the three months ended June 30, 2019, primarily due to an increase in foreign and state income taxes.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123" w:right="3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Comparison of the six months ended June 30, 2020 and 2019</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Revenue</w:t>
      </w:r>
    </w:p>
    <w:p>
      <w:pPr>
        <w:spacing w:after="0" w:line="283" w:lineRule="exact"/>
        <w:rPr>
          <w:sz w:val="20"/>
          <w:szCs w:val="20"/>
          <w:color w:val="auto"/>
        </w:rPr>
      </w:pPr>
    </w:p>
    <w:p>
      <w:pPr>
        <w:jc w:val="center"/>
        <w:ind w:left="1900"/>
        <w:spacing w:after="0"/>
        <w:rPr>
          <w:sz w:val="20"/>
          <w:szCs w:val="20"/>
          <w:color w:val="auto"/>
        </w:rPr>
      </w:pPr>
      <w:r>
        <w:rPr>
          <w:rFonts w:ascii="Arial" w:cs="Arial" w:eastAsia="Arial" w:hAnsi="Arial"/>
          <w:sz w:val="17"/>
          <w:szCs w:val="17"/>
          <w:b w:val="1"/>
          <w:bCs w:val="1"/>
          <w:color w:val="auto"/>
        </w:rPr>
        <w:t>Six Months Ended</w:t>
      </w:r>
    </w:p>
    <w:p>
      <w:pPr>
        <w:spacing w:after="0" w:line="23" w:lineRule="exact"/>
        <w:rPr>
          <w:sz w:val="20"/>
          <w:szCs w:val="20"/>
          <w:color w:val="auto"/>
        </w:rPr>
      </w:pPr>
    </w:p>
    <w:p>
      <w:pPr>
        <w:jc w:val="center"/>
        <w:ind w:left="1900"/>
        <w:spacing w:after="0"/>
        <w:rPr>
          <w:sz w:val="20"/>
          <w:szCs w:val="20"/>
          <w:color w:val="auto"/>
        </w:rPr>
      </w:pPr>
      <w:r>
        <w:rPr>
          <w:rFonts w:ascii="Arial" w:cs="Arial" w:eastAsia="Arial" w:hAnsi="Arial"/>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21590</wp:posOffset>
            </wp:positionV>
            <wp:extent cx="1910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20" w:type="dxa"/>
            <w:vAlign w:val="bottom"/>
          </w:tcPr>
          <w:p>
            <w:pPr>
              <w:jc w:val="right"/>
              <w:ind w:right="29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35"/>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ind w:right="15"/>
              <w:spacing w:after="0"/>
              <w:rPr>
                <w:sz w:val="20"/>
                <w:szCs w:val="20"/>
                <w:color w:val="auto"/>
              </w:rPr>
            </w:pPr>
            <w:r>
              <w:rPr>
                <w:rFonts w:ascii="Arial" w:cs="Arial" w:eastAsia="Arial" w:hAnsi="Arial"/>
                <w:sz w:val="17"/>
                <w:szCs w:val="17"/>
                <w:i w:val="1"/>
                <w:iCs w:val="1"/>
                <w:color w:val="auto"/>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922.4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787.1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6"/>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right="380" w:firstLine="381"/>
        <w:spacing w:after="0" w:line="341" w:lineRule="auto"/>
        <w:rPr>
          <w:sz w:val="20"/>
          <w:szCs w:val="20"/>
          <w:color w:val="auto"/>
        </w:rPr>
      </w:pPr>
      <w:r>
        <w:rPr>
          <w:rFonts w:ascii="Arial" w:cs="Arial" w:eastAsia="Arial" w:hAnsi="Arial"/>
          <w:sz w:val="15"/>
          <w:szCs w:val="15"/>
          <w:color w:val="auto"/>
        </w:rPr>
        <w:t>Revenue increased $135.3 million or 17% during the six months ended June 30, 2020, as compared to the six months ended June 30, 2019. The increase in revenue was driven primarily by an increase in paying users, an increase in the price of our Plus plan, and the adoption of premium plans by our users.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ind w:left="38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40"/>
        </w:trPr>
        <w:tc>
          <w:tcPr>
            <w:tcW w:w="4960" w:type="dxa"/>
            <w:vAlign w:val="bottom"/>
          </w:tcPr>
          <w:p>
            <w:pPr>
              <w:spacing w:after="0"/>
              <w:rPr>
                <w:sz w:val="24"/>
                <w:szCs w:val="24"/>
                <w:color w:val="auto"/>
              </w:rPr>
            </w:pPr>
          </w:p>
        </w:tc>
        <w:tc>
          <w:tcPr>
            <w:tcW w:w="2540" w:type="dxa"/>
            <w:vAlign w:val="bottom"/>
            <w:gridSpan w:val="4"/>
          </w:tcPr>
          <w:p>
            <w:pPr>
              <w:jc w:val="center"/>
              <w:ind w:left="515"/>
              <w:spacing w:after="0"/>
              <w:rPr>
                <w:sz w:val="20"/>
                <w:szCs w:val="20"/>
                <w:color w:val="auto"/>
              </w:rPr>
            </w:pPr>
            <w:r>
              <w:rPr>
                <w:rFonts w:ascii="Arial" w:cs="Arial" w:eastAsia="Arial" w:hAnsi="Arial"/>
                <w:sz w:val="17"/>
                <w:szCs w:val="17"/>
                <w:b w:val="1"/>
                <w:bCs w:val="1"/>
                <w:color w:val="auto"/>
                <w:w w:val="90"/>
              </w:rPr>
              <w:t>Six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9"/>
        </w:trPr>
        <w:tc>
          <w:tcPr>
            <w:tcW w:w="4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20" w:type="dxa"/>
            <w:vAlign w:val="bottom"/>
            <w:gridSpan w:val="3"/>
          </w:tcPr>
          <w:p>
            <w:pPr>
              <w:jc w:val="center"/>
              <w:ind w:right="255"/>
              <w:spacing w:after="0"/>
              <w:rPr>
                <w:sz w:val="20"/>
                <w:szCs w:val="20"/>
                <w:color w:val="auto"/>
              </w:rPr>
            </w:pPr>
            <w:r>
              <w:rPr>
                <w:rFonts w:ascii="Arial" w:cs="Arial" w:eastAsia="Arial" w:hAnsi="Arial"/>
                <w:sz w:val="17"/>
                <w:szCs w:val="17"/>
                <w:b w:val="1"/>
                <w:bCs w:val="1"/>
                <w:color w:val="auto"/>
                <w:w w:val="88"/>
              </w:rPr>
              <w:t>June 30,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
        </w:trPr>
        <w:tc>
          <w:tcPr>
            <w:tcW w:w="4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20"/>
        </w:trPr>
        <w:tc>
          <w:tcPr>
            <w:tcW w:w="4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20" w:type="dxa"/>
            <w:vAlign w:val="bottom"/>
          </w:tcPr>
          <w:p>
            <w:pPr>
              <w:jc w:val="right"/>
              <w:ind w:right="295"/>
              <w:spacing w:after="0"/>
              <w:rPr>
                <w:sz w:val="20"/>
                <w:szCs w:val="20"/>
                <w:color w:val="auto"/>
              </w:rPr>
            </w:pPr>
            <w:r>
              <w:rPr>
                <w:rFonts w:ascii="Arial" w:cs="Arial" w:eastAsia="Arial" w:hAnsi="Arial"/>
                <w:sz w:val="17"/>
                <w:szCs w:val="17"/>
                <w:b w:val="1"/>
                <w:bCs w:val="1"/>
                <w:color w:val="auto"/>
              </w:rPr>
              <w:t>% Change</w:t>
            </w:r>
          </w:p>
        </w:tc>
      </w:tr>
      <w:tr>
        <w:trPr>
          <w:trHeight w:val="26"/>
        </w:trPr>
        <w:tc>
          <w:tcPr>
            <w:tcW w:w="4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35"/>
        </w:trPr>
        <w:tc>
          <w:tcPr>
            <w:tcW w:w="4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gridSpan w:val="3"/>
          </w:tcPr>
          <w:p>
            <w:pPr>
              <w:jc w:val="center"/>
              <w:ind w:right="255"/>
              <w:spacing w:after="0"/>
              <w:rPr>
                <w:sz w:val="20"/>
                <w:szCs w:val="20"/>
                <w:color w:val="auto"/>
              </w:rPr>
            </w:pPr>
            <w:r>
              <w:rPr>
                <w:rFonts w:ascii="Arial" w:cs="Arial" w:eastAsia="Arial" w:hAnsi="Arial"/>
                <w:sz w:val="17"/>
                <w:szCs w:val="17"/>
                <w:i w:val="1"/>
                <w:iCs w:val="1"/>
                <w:color w:val="auto"/>
                <w:w w:val="96"/>
              </w:rPr>
              <w:t>(In millions)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
        </w:trPr>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9"/>
              </w:rPr>
              <w:t>205.6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9"/>
              </w:rPr>
              <w:t>201.3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8"/>
        </w:trPr>
        <w:tc>
          <w:tcPr>
            <w:tcW w:w="496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92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7"/>
                <w:szCs w:val="17"/>
                <w:color w:val="auto"/>
                <w:w w:val="89"/>
              </w:rPr>
              <w:t>716.8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7"/>
                <w:szCs w:val="17"/>
                <w:color w:val="auto"/>
                <w:w w:val="89"/>
              </w:rPr>
              <w:t>585.8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131.0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6"/>
        </w:trPr>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
        </w:trPr>
        <w:tc>
          <w:tcPr>
            <w:tcW w:w="49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right="100" w:firstLine="381"/>
        <w:spacing w:after="0" w:line="278" w:lineRule="auto"/>
        <w:rPr>
          <w:sz w:val="20"/>
          <w:szCs w:val="20"/>
          <w:color w:val="auto"/>
        </w:rPr>
      </w:pPr>
      <w:r>
        <w:rPr>
          <w:rFonts w:ascii="Arial" w:cs="Arial" w:eastAsia="Arial" w:hAnsi="Arial"/>
          <w:sz w:val="16"/>
          <w:szCs w:val="16"/>
          <w:color w:val="auto"/>
        </w:rPr>
        <w:t>Cost of revenue increased $4.3 million or 2% during the six months ended June 30, 2020, as compared to the six months ended June 30, 2019, primarily due to increases of $4.0 million in employee-related costs due to headcount growth, $3.3 million in credit card transaction fees due to higher sales and professional fees for user support, $1.9 million in allocated overhead, which includes facilities-related costs for our new corporate headquarters, and an increase in amortization of acquired intangible assets. These increases were offset by a decrease of $5.9 million in infrastructure costs.</w:t>
      </w:r>
    </w:p>
    <w:p>
      <w:pPr>
        <w:spacing w:after="0" w:line="87" w:lineRule="exact"/>
        <w:rPr>
          <w:sz w:val="20"/>
          <w:szCs w:val="20"/>
          <w:color w:val="auto"/>
        </w:rPr>
      </w:pPr>
    </w:p>
    <w:p>
      <w:pPr>
        <w:jc w:val="both"/>
        <w:ind w:right="20" w:firstLine="381"/>
        <w:spacing w:after="0" w:line="272" w:lineRule="auto"/>
        <w:rPr>
          <w:sz w:val="20"/>
          <w:szCs w:val="20"/>
          <w:color w:val="auto"/>
        </w:rPr>
      </w:pPr>
      <w:r>
        <w:rPr>
          <w:rFonts w:ascii="Arial" w:cs="Arial" w:eastAsia="Arial" w:hAnsi="Arial"/>
          <w:sz w:val="17"/>
          <w:szCs w:val="17"/>
          <w:color w:val="auto"/>
        </w:rPr>
        <w:t>Our gross margin increased during the six months ended June 30, 2020 compared to the six months ended June 30, 2019, primarily due to a 17% increase in our revenue during the period, which was offset by a lower percentage increase in our cost of revenue described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ind w:left="380"/>
              <w:spacing w:after="0"/>
              <w:rPr>
                <w:sz w:val="20"/>
                <w:szCs w:val="20"/>
                <w:color w:val="auto"/>
              </w:rPr>
            </w:pPr>
            <w:r>
              <w:rPr>
                <w:rFonts w:ascii="Arial" w:cs="Arial" w:eastAsia="Arial" w:hAnsi="Arial"/>
                <w:sz w:val="17"/>
                <w:szCs w:val="17"/>
                <w:i w:val="1"/>
                <w:iCs w:val="1"/>
                <w:color w:val="auto"/>
              </w:rPr>
              <w:t>Research and development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40"/>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w w:val="89"/>
              </w:rPr>
              <w:t>Six Months Ended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7"/>
                <w:szCs w:val="17"/>
                <w:b w:val="1"/>
                <w:bCs w:val="1"/>
                <w:color w:val="auto"/>
                <w:w w:val="88"/>
              </w:rPr>
              <w:t>June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20"/>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20" w:type="dxa"/>
            <w:vAlign w:val="bottom"/>
          </w:tcPr>
          <w:p>
            <w:pPr>
              <w:jc w:val="right"/>
              <w:ind w:right="29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35"/>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7"/>
                <w:szCs w:val="17"/>
                <w:i w:val="1"/>
                <w:iCs w:val="1"/>
                <w:color w:val="auto"/>
                <w:w w:val="96"/>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367.6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55.2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6"/>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jc w:val="both"/>
        <w:ind w:firstLine="381"/>
        <w:spacing w:after="0" w:line="261" w:lineRule="auto"/>
        <w:rPr>
          <w:sz w:val="20"/>
          <w:szCs w:val="20"/>
          <w:color w:val="auto"/>
        </w:rPr>
      </w:pPr>
      <w:r>
        <w:rPr>
          <w:rFonts w:ascii="Arial" w:cs="Arial" w:eastAsia="Arial" w:hAnsi="Arial"/>
          <w:sz w:val="17"/>
          <w:szCs w:val="17"/>
          <w:color w:val="auto"/>
        </w:rPr>
        <w:t>Research and development expenses increased $55.2 million or 18% during the six months ended June 30, 2020, as compared to the six months ended June 30, 2019, primarily due to increases of $42.6 million in employee-related costs due to headcount growth and $9.4 million in allocated overhead, which includes facilities-related costs for our new corporate headquarters.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ind w:left="380"/>
              <w:spacing w:after="0"/>
              <w:rPr>
                <w:sz w:val="20"/>
                <w:szCs w:val="20"/>
                <w:color w:val="auto"/>
              </w:rPr>
            </w:pPr>
            <w:r>
              <w:rPr>
                <w:rFonts w:ascii="Arial" w:cs="Arial" w:eastAsia="Arial" w:hAnsi="Arial"/>
                <w:sz w:val="17"/>
                <w:szCs w:val="17"/>
                <w:i w:val="1"/>
                <w:iCs w:val="1"/>
                <w:color w:val="auto"/>
              </w:rPr>
              <w:t>Sales and marketing</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40"/>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89"/>
              </w:rPr>
              <w:t>Six Months Ended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9"/>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center"/>
              <w:ind w:left="615"/>
              <w:spacing w:after="0"/>
              <w:rPr>
                <w:sz w:val="20"/>
                <w:szCs w:val="20"/>
                <w:color w:val="auto"/>
              </w:rPr>
            </w:pPr>
            <w:r>
              <w:rPr>
                <w:rFonts w:ascii="Arial" w:cs="Arial" w:eastAsia="Arial" w:hAnsi="Arial"/>
                <w:sz w:val="17"/>
                <w:szCs w:val="17"/>
                <w:b w:val="1"/>
                <w:bCs w:val="1"/>
                <w:color w:val="auto"/>
                <w:w w:val="88"/>
              </w:rPr>
              <w:t>June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6"/>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20"/>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35"/>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center"/>
              <w:ind w:left="615"/>
              <w:spacing w:after="0"/>
              <w:rPr>
                <w:sz w:val="20"/>
                <w:szCs w:val="20"/>
                <w:color w:val="auto"/>
              </w:rPr>
            </w:pPr>
            <w:r>
              <w:rPr>
                <w:rFonts w:ascii="Arial" w:cs="Arial" w:eastAsia="Arial" w:hAnsi="Arial"/>
                <w:sz w:val="17"/>
                <w:szCs w:val="17"/>
                <w:i w:val="1"/>
                <w:iCs w:val="1"/>
                <w:color w:val="auto"/>
                <w:w w:val="96"/>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608"/>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695"/>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140" w:firstLine="381"/>
        <w:spacing w:after="0" w:line="311" w:lineRule="auto"/>
        <w:rPr>
          <w:sz w:val="20"/>
          <w:szCs w:val="20"/>
          <w:color w:val="auto"/>
        </w:rPr>
      </w:pPr>
      <w:r>
        <w:rPr>
          <w:rFonts w:ascii="Arial" w:cs="Arial" w:eastAsia="Arial" w:hAnsi="Arial"/>
          <w:sz w:val="15"/>
          <w:szCs w:val="15"/>
          <w:color w:val="auto"/>
        </w:rPr>
        <w:t>Sales and marketing expenses decreased $1.7 million or 1% during the six months ended June 30, 2020, as compared to the six months ended June 30, 2019, primarily due to decreases of $6.9 million related to brand marketing expenses and $4.8 million driven by a reduction of events due to the COVID-19 pandemic. These decreases were offset by increases of $7.5 million in app store fees due to increased sales and an increase in employee-related costs due to headcount growth.</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ind w:left="380"/>
              <w:spacing w:after="0"/>
              <w:rPr>
                <w:sz w:val="20"/>
                <w:szCs w:val="20"/>
                <w:color w:val="auto"/>
              </w:rPr>
            </w:pPr>
            <w:r>
              <w:rPr>
                <w:rFonts w:ascii="Arial" w:cs="Arial" w:eastAsia="Arial" w:hAnsi="Arial"/>
                <w:sz w:val="17"/>
                <w:szCs w:val="17"/>
                <w:i w:val="1"/>
                <w:iCs w:val="1"/>
                <w:color w:val="auto"/>
              </w:rPr>
              <w:t>General and administrative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40"/>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89"/>
              </w:rPr>
              <w:t>Six Months Ended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9"/>
        </w:trPr>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center"/>
              <w:ind w:left="595"/>
              <w:spacing w:after="0"/>
              <w:rPr>
                <w:sz w:val="20"/>
                <w:szCs w:val="20"/>
                <w:color w:val="auto"/>
              </w:rPr>
            </w:pPr>
            <w:r>
              <w:rPr>
                <w:rFonts w:ascii="Arial" w:cs="Arial" w:eastAsia="Arial" w:hAnsi="Arial"/>
                <w:sz w:val="17"/>
                <w:szCs w:val="17"/>
                <w:b w:val="1"/>
                <w:bCs w:val="1"/>
                <w:color w:val="auto"/>
                <w:w w:val="88"/>
              </w:rPr>
              <w:t>June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6"/>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20"/>
        </w:trPr>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35"/>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center"/>
              <w:ind w:left="595"/>
              <w:spacing w:after="0"/>
              <w:rPr>
                <w:sz w:val="20"/>
                <w:szCs w:val="20"/>
                <w:color w:val="auto"/>
              </w:rPr>
            </w:pPr>
            <w:r>
              <w:rPr>
                <w:rFonts w:ascii="Arial" w:cs="Arial" w:eastAsia="Arial" w:hAnsi="Arial"/>
                <w:sz w:val="17"/>
                <w:szCs w:val="17"/>
                <w:i w:val="1"/>
                <w:iCs w:val="1"/>
                <w:color w:val="auto"/>
                <w:w w:val="96"/>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6"/>
        </w:trPr>
        <w:tc>
          <w:tcPr>
            <w:tcW w:w="5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18" w:lineRule="exact"/>
        <w:rPr>
          <w:sz w:val="20"/>
          <w:szCs w:val="20"/>
          <w:color w:val="auto"/>
        </w:rPr>
      </w:pPr>
    </w:p>
    <w:p>
      <w:pPr>
        <w:ind w:firstLine="381"/>
        <w:spacing w:after="0" w:line="254" w:lineRule="auto"/>
        <w:rPr>
          <w:sz w:val="20"/>
          <w:szCs w:val="20"/>
          <w:color w:val="auto"/>
        </w:rPr>
      </w:pPr>
      <w:r>
        <w:rPr>
          <w:rFonts w:ascii="Arial" w:cs="Arial" w:eastAsia="Arial" w:hAnsi="Arial"/>
          <w:sz w:val="17"/>
          <w:szCs w:val="17"/>
          <w:color w:val="auto"/>
        </w:rPr>
        <w:t>General and administrative expenses decreased $17.4 million or 15% during the six months ended June 30, 2020, as compared to the six months ended June 30, 2019, primarily due to a decrease of $23.9 million in stock-based compensation, with the majority of the decrease due to the resignation of one of the co-founders and the forfeiture of his Co-Founder Grant as discussed in "--Note 12. Stockholders' Equity." Additionally, general and administrative expenses decreased due to $3.5 million in non-income based taxes and $3.0 million in legal-related and acquisition expenses. These decreases were offset by increases of $8.7 million in employee-related costs, excluding stock-based compensation, due to headcount growth, and $5.9 million in allocated overhead, which includes facilities-related costs for our new corporate headquarters.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Interest income (expense), net</w:t>
      </w:r>
    </w:p>
    <w:p>
      <w:pPr>
        <w:spacing w:after="0" w:line="211" w:lineRule="exact"/>
        <w:rPr>
          <w:sz w:val="20"/>
          <w:szCs w:val="20"/>
          <w:color w:val="auto"/>
        </w:rPr>
      </w:pPr>
    </w:p>
    <w:p>
      <w:pPr>
        <w:ind w:right="20" w:firstLine="381"/>
        <w:spacing w:after="0" w:line="261" w:lineRule="auto"/>
        <w:rPr>
          <w:sz w:val="20"/>
          <w:szCs w:val="20"/>
          <w:color w:val="auto"/>
        </w:rPr>
      </w:pPr>
      <w:r>
        <w:rPr>
          <w:rFonts w:ascii="Arial" w:cs="Arial" w:eastAsia="Arial" w:hAnsi="Arial"/>
          <w:sz w:val="17"/>
          <w:szCs w:val="17"/>
          <w:color w:val="auto"/>
        </w:rPr>
        <w:t>Interest income (expense), net decreased $4.4 million during the six months ended June 30, 2020, as compared to the six months ended June 30, 2019, primarily due to a decrease in interest income from our money market funds and short-term investments as a result of government-initiated interest rate reductions in response to the COVID-19 pandemic.</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Other income (expense), net</w:t>
      </w:r>
    </w:p>
    <w:p>
      <w:pPr>
        <w:spacing w:after="0" w:line="211" w:lineRule="exact"/>
        <w:rPr>
          <w:sz w:val="20"/>
          <w:szCs w:val="20"/>
          <w:color w:val="auto"/>
        </w:rPr>
      </w:pPr>
    </w:p>
    <w:p>
      <w:pPr>
        <w:jc w:val="both"/>
        <w:ind w:right="160" w:firstLine="381"/>
        <w:spacing w:after="0" w:line="261" w:lineRule="auto"/>
        <w:rPr>
          <w:sz w:val="20"/>
          <w:szCs w:val="20"/>
          <w:color w:val="auto"/>
        </w:rPr>
      </w:pPr>
      <w:r>
        <w:rPr>
          <w:rFonts w:ascii="Arial" w:cs="Arial" w:eastAsia="Arial" w:hAnsi="Arial"/>
          <w:sz w:val="17"/>
          <w:szCs w:val="17"/>
          <w:color w:val="auto"/>
        </w:rPr>
        <w:t>Other income (expense), net increased $5.4 million during the six months ended June 30, 2020, as compared to the six months ended June 30, 2019, primarily due to $9.4 million in gains related to an equity investment, offset by a decrease of $4.7 million due to the disposal of infrastructure assets in the six months ended June 30, 2019.</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11" w:lineRule="exact"/>
        <w:rPr>
          <w:sz w:val="20"/>
          <w:szCs w:val="20"/>
          <w:color w:val="auto"/>
        </w:rPr>
      </w:pPr>
    </w:p>
    <w:p>
      <w:pPr>
        <w:ind w:right="640" w:firstLine="381"/>
        <w:spacing w:after="0" w:line="272" w:lineRule="auto"/>
        <w:rPr>
          <w:sz w:val="20"/>
          <w:szCs w:val="20"/>
          <w:color w:val="auto"/>
        </w:rPr>
      </w:pPr>
      <w:r>
        <w:rPr>
          <w:rFonts w:ascii="Arial" w:cs="Arial" w:eastAsia="Arial" w:hAnsi="Arial"/>
          <w:sz w:val="17"/>
          <w:szCs w:val="17"/>
          <w:color w:val="auto"/>
        </w:rPr>
        <w:t>Provision for income taxes increased by $10.0 million during the six months ended June 30, 2020, as compared to the six months ended June 30, 2019, primarily due to the one-time tax benefit recognized in 2019 as a result of our acquisition of HelloSign.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123" w:right="3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5" w:lineRule="exact"/>
        <w:rPr>
          <w:sz w:val="20"/>
          <w:szCs w:val="20"/>
          <w:color w:val="auto"/>
        </w:rPr>
      </w:pPr>
    </w:p>
    <w:p>
      <w:pPr>
        <w:ind w:right="180" w:firstLine="381"/>
        <w:spacing w:after="0" w:line="255" w:lineRule="auto"/>
        <w:rPr>
          <w:sz w:val="20"/>
          <w:szCs w:val="20"/>
          <w:color w:val="auto"/>
        </w:rPr>
      </w:pPr>
      <w:r>
        <w:rPr>
          <w:rFonts w:ascii="Arial" w:cs="Arial" w:eastAsia="Arial" w:hAnsi="Arial"/>
          <w:sz w:val="17"/>
          <w:szCs w:val="17"/>
          <w:color w:val="auto"/>
        </w:rPr>
        <w:t>As of June 30, 2020, we had cash and cash equivalents of $334.1 million and short-term investments of $783.5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and municipal securities. As of June 30, 2020, we had $122.9 million of our cash and cash equivalents held by our foreign subsidiaries. We do not expect to incur material taxes in the event we repatriate any of these amounts.</w:t>
      </w:r>
    </w:p>
    <w:p>
      <w:pPr>
        <w:spacing w:after="0" w:line="104" w:lineRule="exact"/>
        <w:rPr>
          <w:sz w:val="20"/>
          <w:szCs w:val="20"/>
          <w:color w:val="auto"/>
        </w:rPr>
      </w:pPr>
    </w:p>
    <w:p>
      <w:pPr>
        <w:ind w:right="120" w:firstLine="381"/>
        <w:spacing w:after="0" w:line="278"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87" w:lineRule="exact"/>
        <w:rPr>
          <w:sz w:val="20"/>
          <w:szCs w:val="20"/>
          <w:color w:val="auto"/>
        </w:rPr>
      </w:pPr>
    </w:p>
    <w:p>
      <w:pPr>
        <w:ind w:firstLine="381"/>
        <w:spacing w:after="0" w:line="292" w:lineRule="auto"/>
        <w:rPr>
          <w:sz w:val="20"/>
          <w:szCs w:val="20"/>
          <w:color w:val="auto"/>
        </w:rPr>
      </w:pPr>
      <w:r>
        <w:rPr>
          <w:rFonts w:ascii="Arial" w:cs="Arial" w:eastAsia="Arial" w:hAnsi="Arial"/>
          <w:sz w:val="15"/>
          <w:szCs w:val="15"/>
          <w:color w:val="auto"/>
        </w:rPr>
        <w:t>Our principal uses of cash in recent periods have been funding our operations, purchases of short-term investments, the satisfaction of tax withholdings in connection with the settlement of restricted stock units and awards, making principal payments on our finance lease obligations, and capital expenditures. In February 2020, our Board of Directors approved a stock repurchase program for the repurchase of up to $600 million of the outstanding shares of our Class A common stock. Share repurchases will be subject to a review of the circumstances in place at that time and will be made from time to time in private transactions or open market purchases as permitted by securities laws and other legal requirements. The program does not obligate us to repurchase any specific number of shares and has no specified time limit; it may be discontinued at any time. During the three and six months ended June 30, 2020, we repurchased and subsequently retired 3.7 million and 7.4 million shares respectively of its Class A common stock for an aggregate amount of $75.8 million and $139.8 million, respectively.</w:t>
      </w:r>
    </w:p>
    <w:p>
      <w:pPr>
        <w:spacing w:after="0" w:line="79" w:lineRule="exact"/>
        <w:rPr>
          <w:sz w:val="20"/>
          <w:szCs w:val="20"/>
          <w:color w:val="auto"/>
        </w:rPr>
      </w:pPr>
    </w:p>
    <w:p>
      <w:pPr>
        <w:ind w:right="100" w:firstLine="381"/>
        <w:spacing w:after="0" w:line="272" w:lineRule="auto"/>
        <w:rPr>
          <w:sz w:val="20"/>
          <w:szCs w:val="20"/>
          <w:color w:val="auto"/>
        </w:rPr>
      </w:pPr>
      <w:r>
        <w:rPr>
          <w:rFonts w:ascii="Arial" w:cs="Arial" w:eastAsia="Arial" w:hAnsi="Arial"/>
          <w:sz w:val="16"/>
          <w:szCs w:val="16"/>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94" w:lineRule="exact"/>
        <w:rPr>
          <w:sz w:val="20"/>
          <w:szCs w:val="20"/>
          <w:color w:val="auto"/>
        </w:rPr>
      </w:pPr>
    </w:p>
    <w:p>
      <w:pPr>
        <w:ind w:right="80" w:firstLine="381"/>
        <w:spacing w:after="0" w:line="297" w:lineRule="auto"/>
        <w:rPr>
          <w:sz w:val="20"/>
          <w:szCs w:val="20"/>
          <w:color w:val="auto"/>
        </w:rPr>
      </w:pPr>
      <w:r>
        <w:rPr>
          <w:rFonts w:ascii="Arial" w:cs="Arial" w:eastAsia="Arial" w:hAnsi="Arial"/>
          <w:sz w:val="15"/>
          <w:szCs w:val="15"/>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 outstanding. There is an additional fronting fee of 0.125% per annum multiplied by the average aggregate daily maximum amount available under all letters of credit.</w:t>
      </w:r>
    </w:p>
    <w:p>
      <w:pPr>
        <w:spacing w:after="0" w:line="75" w:lineRule="exact"/>
        <w:rPr>
          <w:sz w:val="20"/>
          <w:szCs w:val="20"/>
          <w:color w:val="auto"/>
        </w:rPr>
      </w:pPr>
    </w:p>
    <w:p>
      <w:pPr>
        <w:ind w:right="120" w:firstLine="381"/>
        <w:spacing w:after="0" w:line="257"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June 30, 2020.</w:t>
      </w:r>
    </w:p>
    <w:p>
      <w:pPr>
        <w:spacing w:after="0" w:line="102" w:lineRule="exact"/>
        <w:rPr>
          <w:sz w:val="20"/>
          <w:szCs w:val="20"/>
          <w:color w:val="auto"/>
        </w:rPr>
      </w:pPr>
    </w:p>
    <w:p>
      <w:pPr>
        <w:ind w:right="260" w:firstLine="381"/>
        <w:spacing w:after="0" w:line="305" w:lineRule="auto"/>
        <w:rPr>
          <w:sz w:val="20"/>
          <w:szCs w:val="20"/>
          <w:color w:val="auto"/>
        </w:rPr>
      </w:pPr>
      <w:r>
        <w:rPr>
          <w:rFonts w:ascii="Arial" w:cs="Arial" w:eastAsia="Arial" w:hAnsi="Arial"/>
          <w:sz w:val="16"/>
          <w:szCs w:val="16"/>
          <w:color w:val="auto"/>
        </w:rPr>
        <w:t>As of June 30, 2020, we had no amounts outstanding under the revolving credit facility and an aggregate of $45.6 million in letters of credit issued under the revolving credit facility. Our total available borrowing capacity under the revolving credit facility was $679.4 million as of June 30, 2020.</w:t>
      </w:r>
    </w:p>
    <w:p>
      <w:pPr>
        <w:spacing w:after="0" w:line="65" w:lineRule="exact"/>
        <w:rPr>
          <w:sz w:val="20"/>
          <w:szCs w:val="20"/>
          <w:color w:val="auto"/>
        </w:rPr>
      </w:pPr>
    </w:p>
    <w:p>
      <w:pPr>
        <w:ind w:firstLine="381"/>
        <w:spacing w:after="0" w:line="292" w:lineRule="auto"/>
        <w:rPr>
          <w:sz w:val="20"/>
          <w:szCs w:val="20"/>
          <w:color w:val="auto"/>
        </w:rPr>
      </w:pPr>
      <w:r>
        <w:rPr>
          <w:rFonts w:ascii="Arial" w:cs="Arial" w:eastAsia="Arial" w:hAnsi="Arial"/>
          <w:sz w:val="15"/>
          <w:szCs w:val="15"/>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any potential impacts of the COVID-19 pandemic on our business. We have and may in the future enter into arrangements to acquire or invest in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123" w:right="3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cash flow activities were as follows for the periods presented: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00" w:type="dxa"/>
            <w:vAlign w:val="bottom"/>
          </w:tcPr>
          <w:p>
            <w:pPr>
              <w:spacing w:after="0"/>
              <w:rPr>
                <w:sz w:val="19"/>
                <w:szCs w:val="19"/>
                <w:color w:val="auto"/>
              </w:rPr>
            </w:pPr>
          </w:p>
        </w:tc>
        <w:tc>
          <w:tcPr>
            <w:tcW w:w="3460" w:type="dxa"/>
            <w:vAlign w:val="bottom"/>
            <w:gridSpan w:val="4"/>
          </w:tcPr>
          <w:p>
            <w:pPr>
              <w:jc w:val="right"/>
              <w:ind w:right="335"/>
              <w:spacing w:after="0"/>
              <w:rPr>
                <w:sz w:val="20"/>
                <w:szCs w:val="20"/>
                <w:color w:val="auto"/>
              </w:rPr>
            </w:pPr>
            <w:r>
              <w:rPr>
                <w:rFonts w:ascii="Arial" w:cs="Arial" w:eastAsia="Arial" w:hAnsi="Arial"/>
                <w:sz w:val="17"/>
                <w:szCs w:val="17"/>
                <w:b w:val="1"/>
                <w:bCs w:val="1"/>
                <w:color w:val="auto"/>
              </w:rPr>
              <w:t>Six months ended June 30,</w:t>
            </w:r>
          </w:p>
        </w:tc>
        <w:tc>
          <w:tcPr>
            <w:tcW w:w="680" w:type="dxa"/>
            <w:vAlign w:val="bottom"/>
          </w:tcPr>
          <w:p>
            <w:pPr>
              <w:spacing w:after="0"/>
              <w:rPr>
                <w:sz w:val="19"/>
                <w:szCs w:val="19"/>
                <w:color w:val="auto"/>
              </w:rPr>
            </w:pPr>
          </w:p>
        </w:tc>
      </w:tr>
      <w:tr>
        <w:trPr>
          <w:trHeight w:val="26"/>
        </w:trPr>
        <w:tc>
          <w:tcPr>
            <w:tcW w:w="7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0"/>
        </w:trPr>
        <w:tc>
          <w:tcPr>
            <w:tcW w:w="7100" w:type="dxa"/>
            <w:vAlign w:val="bottom"/>
          </w:tcPr>
          <w:p>
            <w:pPr>
              <w:spacing w:after="0"/>
              <w:rPr>
                <w:sz w:val="19"/>
                <w:szCs w:val="19"/>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680" w:type="dxa"/>
            <w:vAlign w:val="bottom"/>
          </w:tcPr>
          <w:p>
            <w:pPr>
              <w:spacing w:after="0"/>
              <w:rPr>
                <w:sz w:val="19"/>
                <w:szCs w:val="19"/>
                <w:color w:val="auto"/>
              </w:rPr>
            </w:pPr>
          </w:p>
        </w:tc>
      </w:tr>
      <w:tr>
        <w:trPr>
          <w:trHeight w:val="26"/>
        </w:trPr>
        <w:tc>
          <w:tcPr>
            <w:tcW w:w="7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35"/>
        </w:trPr>
        <w:tc>
          <w:tcPr>
            <w:tcW w:w="7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gridSpan w:val="3"/>
          </w:tcPr>
          <w:p>
            <w:pPr>
              <w:jc w:val="right"/>
              <w:ind w:right="875"/>
              <w:spacing w:after="0"/>
              <w:rPr>
                <w:sz w:val="20"/>
                <w:szCs w:val="20"/>
                <w:color w:val="auto"/>
              </w:rPr>
            </w:pPr>
            <w:r>
              <w:rPr>
                <w:rFonts w:ascii="Arial" w:cs="Arial" w:eastAsia="Arial" w:hAnsi="Arial"/>
                <w:sz w:val="17"/>
                <w:szCs w:val="17"/>
                <w:i w:val="1"/>
                <w:iCs w:val="1"/>
                <w:color w:val="auto"/>
              </w:rPr>
              <w:t>(In millions)</w:t>
            </w:r>
          </w:p>
        </w:tc>
        <w:tc>
          <w:tcPr>
            <w:tcW w:w="680" w:type="dxa"/>
            <w:vAlign w:val="bottom"/>
          </w:tcPr>
          <w:p>
            <w:pPr>
              <w:spacing w:after="0"/>
              <w:rPr>
                <w:sz w:val="24"/>
                <w:szCs w:val="24"/>
                <w:color w:val="auto"/>
              </w:rPr>
            </w:pPr>
          </w:p>
        </w:tc>
      </w:tr>
      <w:tr>
        <w:trPr>
          <w:trHeight w:val="26"/>
        </w:trPr>
        <w:tc>
          <w:tcPr>
            <w:tcW w:w="7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340" w:type="dxa"/>
            <w:vAlign w:val="bottom"/>
            <w:tcBorders>
              <w:bottom w:val="single" w:sz="8" w:color="CCEEFF"/>
            </w:tcBorders>
            <w:shd w:val="clear" w:color="auto" w:fill="CCEEFF"/>
          </w:tcPr>
          <w:p>
            <w:pPr>
              <w:jc w:val="right"/>
              <w:ind w:right="115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199.2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192.0</w:t>
            </w:r>
          </w:p>
        </w:tc>
      </w:tr>
      <w:tr>
        <w:trPr>
          <w:trHeight w:val="228"/>
        </w:trPr>
        <w:tc>
          <w:tcPr>
            <w:tcW w:w="71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(189.6)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(270.5)</w:t>
            </w:r>
          </w:p>
        </w:tc>
      </w:tr>
      <w:tr>
        <w:trPr>
          <w:trHeight w:val="26"/>
        </w:trPr>
        <w:tc>
          <w:tcPr>
            <w:tcW w:w="7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(97.4)</w:t>
            </w:r>
          </w:p>
        </w:tc>
      </w:tr>
      <w:tr>
        <w:trPr>
          <w:trHeight w:val="228"/>
        </w:trPr>
        <w:tc>
          <w:tcPr>
            <w:tcW w:w="7100" w:type="dxa"/>
            <w:vAlign w:val="bottom"/>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0.2</w:t>
            </w:r>
          </w:p>
        </w:tc>
      </w:tr>
      <w:tr>
        <w:trPr>
          <w:trHeight w:val="26"/>
        </w:trPr>
        <w:tc>
          <w:tcPr>
            <w:tcW w:w="7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340" w:type="dxa"/>
            <w:vAlign w:val="bottom"/>
            <w:tcBorders>
              <w:bottom w:val="single" w:sz="8" w:color="CCEEFF"/>
            </w:tcBorders>
            <w:shd w:val="clear" w:color="auto" w:fill="CCEEFF"/>
          </w:tcPr>
          <w:p>
            <w:pPr>
              <w:jc w:val="right"/>
              <w:ind w:right="115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35" w:lineRule="exact"/>
        <w:rPr>
          <w:sz w:val="20"/>
          <w:szCs w:val="20"/>
          <w:color w:val="auto"/>
        </w:rPr>
      </w:pPr>
    </w:p>
    <w:p>
      <w:pPr>
        <w:ind w:firstLine="381"/>
        <w:spacing w:after="0" w:line="257" w:lineRule="auto"/>
        <w:rPr>
          <w:sz w:val="20"/>
          <w:szCs w:val="20"/>
          <w:color w:val="auto"/>
        </w:rPr>
      </w:pPr>
      <w:r>
        <w:rPr>
          <w:rFonts w:ascii="Arial" w:cs="Arial" w:eastAsia="Arial" w:hAnsi="Arial"/>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depreciation and amortization expenses and stock-based compensation, as well as the effect of changes in operating assets and liabilities.</w:t>
      </w:r>
    </w:p>
    <w:p>
      <w:pPr>
        <w:spacing w:after="0" w:line="102" w:lineRule="exact"/>
        <w:rPr>
          <w:sz w:val="20"/>
          <w:szCs w:val="20"/>
          <w:color w:val="auto"/>
        </w:rPr>
      </w:pPr>
    </w:p>
    <w:p>
      <w:pPr>
        <w:ind w:firstLine="381"/>
        <w:spacing w:after="0" w:line="255" w:lineRule="auto"/>
        <w:rPr>
          <w:sz w:val="20"/>
          <w:szCs w:val="20"/>
          <w:color w:val="auto"/>
        </w:rPr>
      </w:pPr>
      <w:r>
        <w:rPr>
          <w:rFonts w:ascii="Arial" w:cs="Arial" w:eastAsia="Arial" w:hAnsi="Arial"/>
          <w:sz w:val="17"/>
          <w:szCs w:val="17"/>
          <w:color w:val="auto"/>
        </w:rPr>
        <w:t>For the six months ended June 30, 2020, net cash provided by operating activities was $199.2 million, which mostly consisted of our net income of $56.8 million, adjusted for stock-based compensation expense of $116.4 million and depreciation and amortization expenses of $79.6 million, and net cash outflow of $46.8 million from operating assets and liabilities. The outflow from operating assets and liabilities was primarily due to the payment of our corporate bonus and key employee holdback payments related to the acquisition of HelloSign, offset by an increase in deferred revenue from increased subscription sales, as a majority of our paying users are invoiced in advance.</w:t>
      </w:r>
    </w:p>
    <w:p>
      <w:pPr>
        <w:spacing w:after="0" w:line="104" w:lineRule="exact"/>
        <w:rPr>
          <w:sz w:val="20"/>
          <w:szCs w:val="20"/>
          <w:color w:val="auto"/>
        </w:rPr>
      </w:pPr>
    </w:p>
    <w:p>
      <w:pPr>
        <w:ind w:right="180" w:firstLine="381"/>
        <w:spacing w:after="0" w:line="261" w:lineRule="auto"/>
        <w:rPr>
          <w:sz w:val="20"/>
          <w:szCs w:val="20"/>
          <w:color w:val="auto"/>
        </w:rPr>
      </w:pPr>
      <w:r>
        <w:rPr>
          <w:rFonts w:ascii="Arial" w:cs="Arial" w:eastAsia="Arial" w:hAnsi="Arial"/>
          <w:sz w:val="17"/>
          <w:szCs w:val="17"/>
          <w:color w:val="auto"/>
        </w:rPr>
        <w:t>The increase in net cash provided by operating activities during the six months ended June 30, 2020, compared to the six months ended June 30, 2019, was primarily due to net income, as adjusted for stock-based compensation and depreciation and amortization expenses and an increase in cash inflows from changes in operating assets and liabilities.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35" w:lineRule="exact"/>
        <w:rPr>
          <w:sz w:val="20"/>
          <w:szCs w:val="20"/>
          <w:color w:val="auto"/>
        </w:rPr>
      </w:pPr>
    </w:p>
    <w:p>
      <w:pPr>
        <w:ind w:right="60" w:firstLine="381"/>
        <w:spacing w:after="0" w:line="305" w:lineRule="auto"/>
        <w:rPr>
          <w:sz w:val="20"/>
          <w:szCs w:val="20"/>
          <w:color w:val="auto"/>
        </w:rPr>
      </w:pPr>
      <w:r>
        <w:rPr>
          <w:rFonts w:ascii="Arial" w:cs="Arial" w:eastAsia="Arial" w:hAnsi="Arial"/>
          <w:sz w:val="16"/>
          <w:szCs w:val="16"/>
          <w:color w:val="auto"/>
        </w:rPr>
        <w:t>Net cash used in investing activities is primarily impacted by purchases of short-term investments, purchases of property and equipment to make improvements to existing and new office spaces, and for purchasing infrastructure equipment in co-location facilities that we directly lease and operate.</w:t>
      </w:r>
    </w:p>
    <w:p>
      <w:pPr>
        <w:spacing w:after="0" w:line="65" w:lineRule="exact"/>
        <w:rPr>
          <w:sz w:val="20"/>
          <w:szCs w:val="20"/>
          <w:color w:val="auto"/>
        </w:rPr>
      </w:pPr>
    </w:p>
    <w:p>
      <w:pPr>
        <w:ind w:right="120" w:firstLine="381"/>
        <w:spacing w:after="0" w:line="261" w:lineRule="auto"/>
        <w:rPr>
          <w:sz w:val="20"/>
          <w:szCs w:val="20"/>
          <w:color w:val="auto"/>
        </w:rPr>
      </w:pPr>
      <w:r>
        <w:rPr>
          <w:rFonts w:ascii="Arial" w:cs="Arial" w:eastAsia="Arial" w:hAnsi="Arial"/>
          <w:sz w:val="17"/>
          <w:szCs w:val="17"/>
          <w:color w:val="auto"/>
        </w:rPr>
        <w:t>For the six months ended June 30, 2020, net cash used in investing activities was $189.6 million, which primarily related to $145.0 million in net investment activity outflows, primarily related to purchases of short-term investments, net of sales and maturities and $8.3 million in equipment rebates. Additionally, cash paid for capital expenditures during the period was $53.9 million related to our office and datacenter build-outs.</w:t>
      </w:r>
    </w:p>
    <w:p>
      <w:pPr>
        <w:spacing w:after="0" w:line="98" w:lineRule="exact"/>
        <w:rPr>
          <w:sz w:val="20"/>
          <w:szCs w:val="20"/>
          <w:color w:val="auto"/>
        </w:rPr>
      </w:pPr>
    </w:p>
    <w:p>
      <w:pPr>
        <w:ind w:right="260" w:firstLine="381"/>
        <w:spacing w:after="0" w:line="305" w:lineRule="auto"/>
        <w:rPr>
          <w:sz w:val="20"/>
          <w:szCs w:val="20"/>
          <w:color w:val="auto"/>
        </w:rPr>
      </w:pPr>
      <w:r>
        <w:rPr>
          <w:rFonts w:ascii="Arial" w:cs="Arial" w:eastAsia="Arial" w:hAnsi="Arial"/>
          <w:sz w:val="16"/>
          <w:szCs w:val="16"/>
          <w:color w:val="auto"/>
        </w:rPr>
        <w:t>The decrease in cash used in investing activities during the six months ended June 30, 2020, compared to the six months ended June 30, 2019, was primarily due to cash paid for our acquisition of HelloSign, net of cash acquired of $171.6 million during the six months ended June 30, 2019.</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35" w:lineRule="exact"/>
        <w:rPr>
          <w:sz w:val="20"/>
          <w:szCs w:val="20"/>
          <w:color w:val="auto"/>
        </w:rPr>
      </w:pPr>
    </w:p>
    <w:p>
      <w:pPr>
        <w:ind w:right="60" w:firstLine="381"/>
        <w:spacing w:after="0" w:line="341" w:lineRule="auto"/>
        <w:rPr>
          <w:sz w:val="20"/>
          <w:szCs w:val="20"/>
          <w:color w:val="auto"/>
        </w:rPr>
      </w:pPr>
      <w:r>
        <w:rPr>
          <w:rFonts w:ascii="Arial" w:cs="Arial" w:eastAsia="Arial" w:hAnsi="Arial"/>
          <w:sz w:val="15"/>
          <w:szCs w:val="15"/>
          <w:color w:val="auto"/>
        </w:rPr>
        <w:t>Net cash used in financing activities is primarily impacted by repurchases of common stock to satisfy the tax withholding obligation for the release of restricted stock units (“RSUs”) and awards, principal payments on finance lease obligations for our infrastructure equipment, and open-market repurchases of common stock.</w:t>
      </w:r>
    </w:p>
    <w:p>
      <w:pPr>
        <w:spacing w:after="0" w:line="43" w:lineRule="exact"/>
        <w:rPr>
          <w:sz w:val="20"/>
          <w:szCs w:val="20"/>
          <w:color w:val="auto"/>
        </w:rPr>
      </w:pPr>
    </w:p>
    <w:p>
      <w:pPr>
        <w:ind w:firstLine="381"/>
        <w:spacing w:after="0" w:line="261" w:lineRule="auto"/>
        <w:rPr>
          <w:sz w:val="20"/>
          <w:szCs w:val="20"/>
          <w:color w:val="auto"/>
        </w:rPr>
      </w:pPr>
      <w:r>
        <w:rPr>
          <w:rFonts w:ascii="Arial" w:cs="Arial" w:eastAsia="Arial" w:hAnsi="Arial"/>
          <w:sz w:val="17"/>
          <w:szCs w:val="17"/>
          <w:color w:val="auto"/>
        </w:rPr>
        <w:t>For the six months ended June 30, 2020, net cash used in financing activities was $226.2 million, which primarily consisted of $139.8 million for the repurchase of our common stock, $43.4 million in principal payments on finance lease obligations and $44.0 million for the satisfaction of tax withholding obligations for the release of restricted stock units and awards.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23" w:right="3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firstLine="381"/>
        <w:spacing w:after="0" w:line="272" w:lineRule="auto"/>
        <w:rPr>
          <w:sz w:val="20"/>
          <w:szCs w:val="20"/>
          <w:color w:val="auto"/>
        </w:rPr>
      </w:pPr>
      <w:r>
        <w:rPr>
          <w:rFonts w:ascii="Arial" w:cs="Arial" w:eastAsia="Arial" w:hAnsi="Arial"/>
          <w:sz w:val="17"/>
          <w:szCs w:val="17"/>
          <w:color w:val="auto"/>
        </w:rPr>
        <w:t>The increase in cash used in financing activities during the six months ended June 30, 2020, compared to the six months ended June 30, 2019, was primarily due to the repurchase of our common stock during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980"/>
          </w:cols>
          <w:pgMar w:left="320" w:top="123" w:right="5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5" w:lineRule="exact"/>
        <w:rPr>
          <w:sz w:val="20"/>
          <w:szCs w:val="20"/>
          <w:color w:val="auto"/>
        </w:rPr>
      </w:pPr>
    </w:p>
    <w:p>
      <w:pPr>
        <w:jc w:val="both"/>
        <w:ind w:firstLine="381"/>
        <w:spacing w:after="0" w:line="311" w:lineRule="auto"/>
        <w:rPr>
          <w:sz w:val="20"/>
          <w:szCs w:val="20"/>
          <w:color w:val="auto"/>
        </w:rPr>
      </w:pPr>
      <w:r>
        <w:rPr>
          <w:rFonts w:ascii="Arial" w:cs="Arial" w:eastAsia="Arial" w:hAnsi="Arial"/>
          <w:sz w:val="15"/>
          <w:szCs w:val="15"/>
          <w:color w:val="auto"/>
        </w:rPr>
        <w:t>Our principal commitments consist of obligations under operating leases for office space and datacenter operations, and finance leases for datacenter equipment. See Note 9 "Leases" to our condensed consolidated financial statements included elsewhere in this Quarterly Report on Form 10-Q for further information. There have been no material changes in our contractual obligations and commitments, as disclosed in our Annual Report.</w:t>
      </w:r>
    </w:p>
    <w:p>
      <w:pPr>
        <w:spacing w:after="0" w:line="200" w:lineRule="exact"/>
        <w:rPr>
          <w:sz w:val="20"/>
          <w:szCs w:val="20"/>
          <w:color w:val="auto"/>
        </w:rPr>
      </w:pPr>
    </w:p>
    <w:p>
      <w:pPr>
        <w:spacing w:after="0" w:line="39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440"/>
          </w:cols>
          <w:pgMar w:left="320" w:top="123" w:right="11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5" w:lineRule="exact"/>
        <w:rPr>
          <w:sz w:val="20"/>
          <w:szCs w:val="20"/>
          <w:color w:val="auto"/>
        </w:rPr>
      </w:pPr>
    </w:p>
    <w:p>
      <w:pPr>
        <w:ind w:firstLine="381"/>
        <w:spacing w:after="0" w:line="261" w:lineRule="auto"/>
        <w:rPr>
          <w:sz w:val="20"/>
          <w:szCs w:val="20"/>
          <w:color w:val="auto"/>
        </w:rPr>
      </w:pPr>
      <w:r>
        <w:rPr>
          <w:rFonts w:ascii="Arial" w:cs="Arial" w:eastAsia="Arial" w:hAnsi="Arial"/>
          <w:sz w:val="17"/>
          <w:szCs w:val="17"/>
          <w:color w:val="auto"/>
        </w:rPr>
        <w:t>As of June 30, 2020,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180"/>
          </w:cols>
          <w:pgMar w:left="320" w:top="123" w:right="3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Judgments</w:t>
      </w:r>
    </w:p>
    <w:p>
      <w:pPr>
        <w:spacing w:after="0" w:line="215" w:lineRule="exact"/>
        <w:rPr>
          <w:sz w:val="20"/>
          <w:szCs w:val="20"/>
          <w:color w:val="auto"/>
        </w:rPr>
      </w:pPr>
    </w:p>
    <w:p>
      <w:pPr>
        <w:ind w:firstLine="305"/>
        <w:spacing w:after="0" w:line="341" w:lineRule="auto"/>
        <w:rPr>
          <w:sz w:val="20"/>
          <w:szCs w:val="20"/>
          <w:color w:val="auto"/>
        </w:rPr>
      </w:pPr>
      <w:r>
        <w:rPr>
          <w:rFonts w:ascii="Arial" w:cs="Arial" w:eastAsia="Arial" w:hAnsi="Arial"/>
          <w:sz w:val="15"/>
          <w:szCs w:val="15"/>
          <w:color w:val="auto"/>
        </w:rPr>
        <w:t>See Part II, Item 7, "Critical Accounting Policies and Judgments " in our Annual Report on Form 10-K for the year ended December 31, 2019. There have been no material changes to our critical accounting policies and estimates since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120"/>
          </w:cols>
          <w:pgMar w:left="320" w:top="123" w:right="45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5" w:lineRule="exact"/>
        <w:rPr>
          <w:sz w:val="20"/>
          <w:szCs w:val="20"/>
          <w:color w:val="auto"/>
        </w:rPr>
      </w:pPr>
    </w:p>
    <w:p>
      <w:pPr>
        <w:ind w:firstLine="381"/>
        <w:spacing w:after="0" w:line="341" w:lineRule="auto"/>
        <w:rPr>
          <w:sz w:val="20"/>
          <w:szCs w:val="20"/>
          <w:color w:val="auto"/>
        </w:rPr>
      </w:pPr>
      <w:r>
        <w:rPr>
          <w:rFonts w:ascii="Arial" w:cs="Arial" w:eastAsia="Arial" w:hAnsi="Arial"/>
          <w:sz w:val="15"/>
          <w:szCs w:val="15"/>
          <w:color w:val="auto"/>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spacing w:after="0" w:line="200" w:lineRule="exact"/>
        <w:rPr>
          <w:sz w:val="20"/>
          <w:szCs w:val="20"/>
          <w:color w:val="auto"/>
        </w:rPr>
      </w:pPr>
    </w:p>
    <w:p>
      <w:pPr>
        <w:spacing w:after="0" w:line="249"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700"/>
          </w:cols>
          <w:pgMar w:left="320" w:top="123" w:right="8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35" w:lineRule="exact"/>
        <w:rPr>
          <w:sz w:val="20"/>
          <w:szCs w:val="20"/>
          <w:color w:val="auto"/>
        </w:rPr>
      </w:pPr>
    </w:p>
    <w:p>
      <w:pPr>
        <w:ind w:right="40" w:firstLine="381"/>
        <w:spacing w:after="0" w:line="253" w:lineRule="auto"/>
        <w:rPr>
          <w:sz w:val="20"/>
          <w:szCs w:val="20"/>
          <w:color w:val="auto"/>
        </w:rPr>
      </w:pPr>
      <w:r>
        <w:rPr>
          <w:rFonts w:ascii="Arial" w:cs="Arial" w:eastAsia="Arial" w:hAnsi="Arial"/>
          <w:sz w:val="17"/>
          <w:szCs w:val="17"/>
          <w:color w:val="auto"/>
        </w:rPr>
        <w:t>We had cash and cash equivalents of $334.1 million and short-term investments of $783.5 million as of June 30, 2020.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and municipal securities.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06" w:lineRule="exact"/>
        <w:rPr>
          <w:sz w:val="20"/>
          <w:szCs w:val="20"/>
          <w:color w:val="auto"/>
        </w:rPr>
      </w:pPr>
    </w:p>
    <w:p>
      <w:pPr>
        <w:ind w:right="60" w:firstLine="381"/>
        <w:spacing w:after="0" w:line="261" w:lineRule="auto"/>
        <w:rPr>
          <w:sz w:val="20"/>
          <w:szCs w:val="20"/>
          <w:color w:val="auto"/>
        </w:rPr>
      </w:pPr>
      <w:r>
        <w:rPr>
          <w:rFonts w:ascii="Arial" w:cs="Arial" w:eastAsia="Arial" w:hAnsi="Arial"/>
          <w:sz w:val="17"/>
          <w:szCs w:val="17"/>
          <w:color w:val="auto"/>
        </w:rPr>
        <w:t>Any borrowings under the revolving credit facility bear interest at a variable rate tied to the prime rate or the LIBOR rate. As of June 30, 2020, we had no amounts outstanding under the revolving credit facility. We do not have any other long-term debt or financial liabilities with floating interest rates that would subject us to interest rate fluctuations.</w:t>
      </w:r>
    </w:p>
    <w:p>
      <w:pPr>
        <w:spacing w:after="0" w:line="98" w:lineRule="exact"/>
        <w:rPr>
          <w:sz w:val="20"/>
          <w:szCs w:val="20"/>
          <w:color w:val="auto"/>
        </w:rPr>
      </w:pPr>
    </w:p>
    <w:p>
      <w:pPr>
        <w:ind w:right="60" w:firstLine="381"/>
        <w:spacing w:after="0" w:line="272" w:lineRule="auto"/>
        <w:rPr>
          <w:sz w:val="20"/>
          <w:szCs w:val="20"/>
          <w:color w:val="auto"/>
        </w:rPr>
      </w:pPr>
      <w:r>
        <w:rPr>
          <w:rFonts w:ascii="Arial" w:cs="Arial" w:eastAsia="Arial" w:hAnsi="Arial"/>
          <w:sz w:val="17"/>
          <w:szCs w:val="17"/>
          <w:color w:val="auto"/>
        </w:rPr>
        <w:t>As of June 30, 2020, a hypothetical change in interest rates by 100 basis points would not have a significant impact on our cash and cash equivalents or the fair value of our investment portfolio.</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35" w:lineRule="exact"/>
        <w:rPr>
          <w:sz w:val="20"/>
          <w:szCs w:val="20"/>
          <w:color w:val="auto"/>
        </w:rPr>
      </w:pPr>
    </w:p>
    <w:p>
      <w:pPr>
        <w:ind w:right="360" w:firstLine="381"/>
        <w:spacing w:after="0" w:line="272"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w:t>
      </w:r>
    </w:p>
    <w:p>
      <w:pPr>
        <w:spacing w:after="0" w:line="90" w:lineRule="exact"/>
        <w:rPr>
          <w:sz w:val="20"/>
          <w:szCs w:val="20"/>
          <w:color w:val="auto"/>
        </w:rPr>
      </w:pPr>
    </w:p>
    <w:p>
      <w:pPr>
        <w:ind w:right="440" w:firstLine="381"/>
        <w:spacing w:after="0" w:line="272" w:lineRule="auto"/>
        <w:rPr>
          <w:sz w:val="20"/>
          <w:szCs w:val="20"/>
          <w:color w:val="auto"/>
        </w:rPr>
      </w:pPr>
      <w:r>
        <w:rPr>
          <w:rFonts w:ascii="Arial" w:cs="Arial" w:eastAsia="Arial" w:hAnsi="Arial"/>
          <w:sz w:val="17"/>
          <w:szCs w:val="17"/>
          <w:color w:val="auto"/>
        </w:rPr>
        <w:t>Most of our revenue is generated in U.S. dollars, with the remainder generated in Euros, British pounds sterling, Australian dollars, Canadian dollars, and Japanese yen.</w:t>
      </w:r>
    </w:p>
    <w:p>
      <w:pPr>
        <w:spacing w:after="0" w:line="90" w:lineRule="exact"/>
        <w:rPr>
          <w:sz w:val="20"/>
          <w:szCs w:val="20"/>
          <w:color w:val="auto"/>
        </w:rPr>
      </w:pPr>
    </w:p>
    <w:p>
      <w:pPr>
        <w:ind w:right="40" w:firstLine="381"/>
        <w:spacing w:after="0" w:line="257" w:lineRule="auto"/>
        <w:rPr>
          <w:sz w:val="20"/>
          <w:szCs w:val="20"/>
          <w:color w:val="auto"/>
        </w:rPr>
      </w:pPr>
      <w:r>
        <w:rPr>
          <w:rFonts w:ascii="Arial" w:cs="Arial" w:eastAsia="Arial" w:hAnsi="Arial"/>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102" w:lineRule="exact"/>
        <w:rPr>
          <w:sz w:val="20"/>
          <w:szCs w:val="20"/>
          <w:color w:val="auto"/>
        </w:rPr>
      </w:pPr>
    </w:p>
    <w:p>
      <w:pPr>
        <w:ind w:firstLine="381"/>
        <w:spacing w:after="0" w:line="270" w:lineRule="auto"/>
        <w:rPr>
          <w:sz w:val="20"/>
          <w:szCs w:val="20"/>
          <w:color w:val="auto"/>
        </w:rPr>
      </w:pPr>
      <w:r>
        <w:rPr>
          <w:rFonts w:ascii="Arial" w:cs="Arial" w:eastAsia="Arial" w:hAnsi="Arial"/>
          <w:sz w:val="16"/>
          <w:szCs w:val="16"/>
          <w:color w:val="auto"/>
        </w:rPr>
        <w:t>As exchange rates may fluctuate significantly between periods, revenue and operating expenses, when converted into U.S. dollars, may also experience significant fluctuations between periods. Volatile market conditions arising from the COVID-19 pandemic may result in significant changes in exchange rates, and in particular a weakening of foreign currencies relative to the U.S. dollar may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six months ended June 30, 2020, 28%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96" w:lineRule="exact"/>
        <w:rPr>
          <w:sz w:val="20"/>
          <w:szCs w:val="20"/>
          <w:color w:val="auto"/>
        </w:rPr>
      </w:pPr>
    </w:p>
    <w:p>
      <w:pPr>
        <w:ind w:right="740" w:firstLine="381"/>
        <w:spacing w:after="0" w:line="341" w:lineRule="auto"/>
        <w:rPr>
          <w:sz w:val="20"/>
          <w:szCs w:val="20"/>
          <w:color w:val="auto"/>
        </w:rPr>
      </w:pPr>
      <w:r>
        <w:rPr>
          <w:rFonts w:ascii="Arial" w:cs="Arial" w:eastAsia="Arial" w:hAnsi="Arial"/>
          <w:sz w:val="15"/>
          <w:szCs w:val="15"/>
          <w:color w:val="auto"/>
        </w:rPr>
        <w:t>We recorded $0.1 million and $0.5 million in net foreign currency transaction losses in the six months ended June 30, 2020 and 2019, respectively. A hypothetical 10% change in foreign currency rates would not have resulted in material gains or losses for the six months ended June 30, 2019 and 2019.</w:t>
      </w:r>
    </w:p>
    <w:p>
      <w:pPr>
        <w:spacing w:after="0" w:line="43" w:lineRule="exact"/>
        <w:rPr>
          <w:sz w:val="20"/>
          <w:szCs w:val="20"/>
          <w:color w:val="auto"/>
        </w:rPr>
      </w:pPr>
    </w:p>
    <w:p>
      <w:pPr>
        <w:ind w:right="420" w:firstLine="381"/>
        <w:spacing w:after="0" w:line="272" w:lineRule="auto"/>
        <w:rPr>
          <w:sz w:val="20"/>
          <w:szCs w:val="20"/>
          <w:color w:val="auto"/>
        </w:rPr>
      </w:pPr>
      <w:r>
        <w:rPr>
          <w:rFonts w:ascii="Arial" w:cs="Arial" w:eastAsia="Arial" w:hAnsi="Arial"/>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Inflation risk</w:t>
      </w:r>
    </w:p>
    <w:p>
      <w:pPr>
        <w:spacing w:after="0" w:line="135" w:lineRule="exact"/>
        <w:rPr>
          <w:sz w:val="20"/>
          <w:szCs w:val="20"/>
          <w:color w:val="auto"/>
        </w:rPr>
      </w:pPr>
    </w:p>
    <w:p>
      <w:pPr>
        <w:jc w:val="both"/>
        <w:ind w:right="60" w:firstLine="381"/>
        <w:spacing w:after="0" w:line="261"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20"/>
          </w:cols>
          <w:pgMar w:left="320" w:top="123" w:right="3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5" w:lineRule="exact"/>
        <w:rPr>
          <w:sz w:val="20"/>
          <w:szCs w:val="20"/>
          <w:color w:val="auto"/>
        </w:rPr>
      </w:pPr>
    </w:p>
    <w:p>
      <w:pPr>
        <w:ind w:firstLine="381"/>
        <w:spacing w:after="0" w:line="27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5" w:lineRule="exact"/>
        <w:rPr>
          <w:sz w:val="20"/>
          <w:szCs w:val="20"/>
          <w:color w:val="auto"/>
        </w:rPr>
      </w:pPr>
    </w:p>
    <w:p>
      <w:pPr>
        <w:ind w:firstLine="381"/>
        <w:spacing w:after="0" w:line="261" w:lineRule="auto"/>
        <w:rPr>
          <w:sz w:val="20"/>
          <w:szCs w:val="20"/>
          <w:color w:val="auto"/>
        </w:rPr>
      </w:pPr>
      <w:r>
        <w:rPr>
          <w:rFonts w:ascii="Arial" w:cs="Arial" w:eastAsia="Arial" w:hAnsi="Arial"/>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15" w:lineRule="exact"/>
        <w:rPr>
          <w:sz w:val="20"/>
          <w:szCs w:val="20"/>
          <w:color w:val="auto"/>
        </w:rPr>
      </w:pPr>
    </w:p>
    <w:p>
      <w:pPr>
        <w:ind w:right="20" w:firstLine="381"/>
        <w:spacing w:after="0" w:line="289" w:lineRule="auto"/>
        <w:rPr>
          <w:sz w:val="20"/>
          <w:szCs w:val="20"/>
          <w:color w:val="auto"/>
        </w:rPr>
      </w:pPr>
      <w:r>
        <w:rPr>
          <w:rFonts w:ascii="Arial" w:cs="Arial" w:eastAsia="Arial" w:hAnsi="Arial"/>
          <w:sz w:val="15"/>
          <w:szCs w:val="15"/>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20"/>
          </w:cols>
          <w:pgMar w:left="320" w:top="123" w:right="35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 OTHER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13" w:lineRule="exact"/>
        <w:rPr>
          <w:sz w:val="20"/>
          <w:szCs w:val="20"/>
          <w:color w:val="auto"/>
        </w:rPr>
      </w:pPr>
    </w:p>
    <w:p>
      <w:pPr>
        <w:ind w:firstLine="381"/>
        <w:spacing w:after="0" w:line="290" w:lineRule="auto"/>
        <w:rPr>
          <w:sz w:val="20"/>
          <w:szCs w:val="20"/>
          <w:color w:val="auto"/>
        </w:rPr>
      </w:pPr>
      <w:r>
        <w:rPr>
          <w:rFonts w:ascii="Arial" w:cs="Arial" w:eastAsia="Arial" w:hAnsi="Arial"/>
          <w:sz w:val="15"/>
          <w:szCs w:val="15"/>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("Synchronoss"),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and at summary judgment, the court resolved all claims in our favor. Synchronoss has filed a notice of appeal; we intend to vigorously oppose Synchronoss' basis for appeal. We do not currently believe that this matter is likely to have a material adverse impact on our consolidated results of operations, cash flows, or our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84" w:lineRule="exact"/>
        <w:rPr>
          <w:sz w:val="20"/>
          <w:szCs w:val="20"/>
          <w:color w:val="auto"/>
        </w:rPr>
      </w:pPr>
    </w:p>
    <w:p>
      <w:pPr>
        <w:ind w:right="20" w:firstLine="381"/>
        <w:spacing w:after="0" w:line="268" w:lineRule="auto"/>
        <w:rPr>
          <w:sz w:val="20"/>
          <w:szCs w:val="20"/>
          <w:color w:val="auto"/>
        </w:rPr>
      </w:pPr>
      <w:r>
        <w:rPr>
          <w:rFonts w:ascii="Arial" w:cs="Arial" w:eastAsia="Arial" w:hAnsi="Arial"/>
          <w:sz w:val="16"/>
          <w:szCs w:val="16"/>
          <w:color w:val="auto"/>
        </w:rPr>
        <w:t>Four putative class action lawsuits alleging violations of the federal securities laws were filed on August 30, 2019, September 5, 2019, September 13, 2019, and October 3, 2019, in the Superior Court of the State of California, San Mateo County, against us, certain of our officers and directors, underwriters of our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make the same or similar allegations of violations of federal securities laws, for allegedly making materially false and misleading statements in, or omitting material information from, our IPO registration statement. The plaintiffs seek unspecified monetary damages and other relief. On March 2, 2020, the Federal Plaintiffs filed a consolidated class action complaint. On April 16, 2020, the Dropbox Defendants filed a motion to dismiss the federal consolidated class action complaint. On May 11, 2020, the Dropbox Defendants filed a motion to dismiss the consolidated state court case based on the exclusive federal forum provisions contained in our amended and restated bylaws. We believe the claims are without merit and we intend to vigorously defend against them. We do not currently believe that this matter is likely to have a material adverse impact on our consolidated results of operations, cash flows, or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98" w:lineRule="exact"/>
        <w:rPr>
          <w:sz w:val="20"/>
          <w:szCs w:val="20"/>
          <w:color w:val="auto"/>
        </w:rPr>
      </w:pPr>
    </w:p>
    <w:p>
      <w:pPr>
        <w:ind w:right="320" w:firstLine="381"/>
        <w:spacing w:after="0" w:line="311" w:lineRule="auto"/>
        <w:rPr>
          <w:sz w:val="20"/>
          <w:szCs w:val="20"/>
          <w:color w:val="auto"/>
        </w:rPr>
      </w:pPr>
      <w:r>
        <w:rPr>
          <w:rFonts w:ascii="Arial" w:cs="Arial" w:eastAsia="Arial" w:hAnsi="Arial"/>
          <w:sz w:val="15"/>
          <w:szCs w:val="15"/>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123" w:right="3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14" w:lineRule="exact"/>
        <w:rPr>
          <w:sz w:val="20"/>
          <w:szCs w:val="20"/>
          <w:color w:val="auto"/>
        </w:rPr>
      </w:pPr>
    </w:p>
    <w:p>
      <w:pPr>
        <w:ind w:right="60" w:firstLine="381"/>
        <w:spacing w:after="0" w:line="290" w:lineRule="auto"/>
        <w:rPr>
          <w:sz w:val="20"/>
          <w:szCs w:val="20"/>
          <w:color w:val="auto"/>
        </w:rPr>
      </w:pPr>
      <w:r>
        <w:rPr>
          <w:rFonts w:ascii="Arial" w:cs="Arial" w:eastAsia="Arial" w:hAnsi="Arial"/>
          <w:sz w:val="15"/>
          <w:szCs w:val="15"/>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the impacts of COVID-19 and any worsening of the economic environment may exacerbate the risks described below, any of which could have a material impact on us. This situation is changing rapidly and additional impacts may arise that we are not currently aware of.</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215" w:lineRule="exact"/>
        <w:rPr>
          <w:sz w:val="20"/>
          <w:szCs w:val="20"/>
          <w:color w:val="auto"/>
        </w:rPr>
      </w:pPr>
    </w:p>
    <w:p>
      <w:pPr>
        <w:ind w:right="360"/>
        <w:spacing w:after="0" w:line="272" w:lineRule="auto"/>
        <w:rPr>
          <w:sz w:val="20"/>
          <w:szCs w:val="20"/>
          <w:color w:val="auto"/>
        </w:rPr>
      </w:pPr>
      <w:r>
        <w:rPr>
          <w:rFonts w:ascii="Arial" w:cs="Arial" w:eastAsia="Arial" w:hAnsi="Arial"/>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66" w:lineRule="exact"/>
        <w:rPr>
          <w:sz w:val="20"/>
          <w:szCs w:val="20"/>
          <w:color w:val="auto"/>
        </w:rPr>
      </w:pPr>
    </w:p>
    <w:p>
      <w:pPr>
        <w:ind w:right="320" w:firstLine="381"/>
        <w:spacing w:after="0" w:line="294" w:lineRule="auto"/>
        <w:rPr>
          <w:sz w:val="20"/>
          <w:szCs w:val="20"/>
          <w:color w:val="auto"/>
        </w:rPr>
      </w:pPr>
      <w:r>
        <w:rPr>
          <w:rFonts w:ascii="Arial" w:cs="Arial" w:eastAsia="Arial" w:hAnsi="Arial"/>
          <w:sz w:val="15"/>
          <w:szCs w:val="15"/>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the perception that competitive products provide better or less expensive options, shifts in the mix of monthly and annual subscriptions or the impact of catastrophic events, such as the ongoing COVID-19 pandemic, on our paying users. In addition, some paying users downgrade or do not renew their subscriptions.</w:t>
      </w:r>
    </w:p>
    <w:p>
      <w:pPr>
        <w:spacing w:after="0" w:line="154" w:lineRule="exact"/>
        <w:rPr>
          <w:sz w:val="20"/>
          <w:szCs w:val="20"/>
          <w:color w:val="auto"/>
        </w:rPr>
      </w:pPr>
    </w:p>
    <w:p>
      <w:pPr>
        <w:ind w:firstLine="381"/>
        <w:spacing w:after="0" w:line="268" w:lineRule="auto"/>
        <w:rPr>
          <w:sz w:val="20"/>
          <w:szCs w:val="20"/>
          <w:color w:val="auto"/>
        </w:rPr>
      </w:pPr>
      <w:r>
        <w:rPr>
          <w:rFonts w:ascii="Arial" w:cs="Arial" w:eastAsia="Arial" w:hAnsi="Arial"/>
          <w:sz w:val="16"/>
          <w:szCs w:val="16"/>
          <w:color w:val="auto"/>
        </w:rPr>
        <w:t>We encourage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we have and may continue to see an increase in customers opting for our monthly plans rather than our annual plans, including from users who upgrade to paid plans using mobile devices. As a result, if more of our users subscribe to our paid plans through mobile devices or otherwise opt for monthly plans, subscription renewals may fluctuate or decline. Additionally, we are increasingly introducing our users to offerings that are not subscription based, such as add-ons and transaction volume-based offerings. We believe these efforts, and certain fees from the referral of users to our partners, will generate increased recurring revenues from our existing user base. However, if users do not believe these offerings are compelling, they may not retain or expand their deployments, and we may not be able to increase the amount of recurring revenue from our user base.</w:t>
      </w:r>
    </w:p>
    <w:p>
      <w:pPr>
        <w:spacing w:after="0" w:line="174" w:lineRule="exact"/>
        <w:rPr>
          <w:sz w:val="20"/>
          <w:szCs w:val="20"/>
          <w:color w:val="auto"/>
        </w:rPr>
      </w:pPr>
    </w:p>
    <w:p>
      <w:pPr>
        <w:jc w:val="both"/>
        <w:ind w:right="260" w:firstLine="381"/>
        <w:spacing w:after="0" w:line="261"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could be harmed if we fail to attract new users or convert registered users to paying users.</w:t>
      </w:r>
    </w:p>
    <w:p>
      <w:pPr>
        <w:spacing w:after="0" w:line="211" w:lineRule="exact"/>
        <w:rPr>
          <w:sz w:val="20"/>
          <w:szCs w:val="20"/>
          <w:color w:val="auto"/>
        </w:rPr>
      </w:pPr>
    </w:p>
    <w:p>
      <w:pPr>
        <w:jc w:val="both"/>
        <w:ind w:right="320" w:firstLine="381"/>
        <w:spacing w:after="0" w:line="284" w:lineRule="auto"/>
        <w:rPr>
          <w:sz w:val="20"/>
          <w:szCs w:val="20"/>
          <w:color w:val="auto"/>
        </w:rPr>
      </w:pPr>
      <w:r>
        <w:rPr>
          <w:rFonts w:ascii="Arial" w:cs="Arial" w:eastAsia="Arial" w:hAnsi="Arial"/>
          <w:sz w:val="16"/>
          <w:szCs w:val="16"/>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59" w:lineRule="exact"/>
        <w:rPr>
          <w:sz w:val="20"/>
          <w:szCs w:val="20"/>
          <w:color w:val="auto"/>
        </w:rPr>
      </w:pPr>
    </w:p>
    <w:p>
      <w:pPr>
        <w:ind w:right="40" w:firstLine="381"/>
        <w:spacing w:after="0" w:line="261"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June 30, 2020, we served over 600 million registered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123" w:right="3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users but only 15.0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159" w:lineRule="exact"/>
        <w:rPr>
          <w:sz w:val="20"/>
          <w:szCs w:val="20"/>
          <w:color w:val="auto"/>
        </w:rPr>
      </w:pPr>
    </w:p>
    <w:p>
      <w:pPr>
        <w:ind w:right="40" w:firstLine="381"/>
        <w:spacing w:after="0" w:line="274" w:lineRule="auto"/>
        <w:rPr>
          <w:sz w:val="20"/>
          <w:szCs w:val="20"/>
          <w:color w:val="auto"/>
        </w:rPr>
      </w:pPr>
      <w:r>
        <w:rPr>
          <w:rFonts w:ascii="Arial" w:cs="Arial" w:eastAsia="Arial" w:hAnsi="Arial"/>
          <w:sz w:val="16"/>
          <w:szCs w:val="16"/>
          <w:color w:val="auto"/>
        </w:rPr>
        <w:t>In addition, our user growth rate has and may continue to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 Furthermore, catastrophic events that financially impact our registered users and other prospective paying users, such as the ongoing COVID-19 pandemic, may cause these users to delay or reduce technology spending, which may impact our ability to convert registered users or otherwise attract new paying users.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has declined in recent periods and may continue to slow in the future.</w:t>
      </w:r>
    </w:p>
    <w:p>
      <w:pPr>
        <w:spacing w:after="0" w:line="211" w:lineRule="exact"/>
        <w:rPr>
          <w:sz w:val="20"/>
          <w:szCs w:val="20"/>
          <w:color w:val="auto"/>
        </w:rPr>
      </w:pPr>
    </w:p>
    <w:p>
      <w:pPr>
        <w:ind w:right="40" w:firstLine="381"/>
        <w:spacing w:after="0" w:line="272" w:lineRule="auto"/>
        <w:rPr>
          <w:sz w:val="20"/>
          <w:szCs w:val="20"/>
          <w:color w:val="auto"/>
        </w:rPr>
      </w:pPr>
      <w:r>
        <w:rPr>
          <w:rFonts w:ascii="Arial" w:cs="Arial" w:eastAsia="Arial" w:hAnsi="Arial"/>
          <w:sz w:val="16"/>
          <w:szCs w:val="16"/>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the impact of catastrophic events on economic conditions or on our current and prospective paying users,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the COVID-19 pandemic on our business is currently unknown, but it may adversely affect our financial results as well as our business operations.</w:t>
      </w:r>
    </w:p>
    <w:p>
      <w:pPr>
        <w:spacing w:after="0" w:line="245" w:lineRule="exact"/>
        <w:rPr>
          <w:sz w:val="20"/>
          <w:szCs w:val="20"/>
          <w:color w:val="auto"/>
        </w:rPr>
      </w:pPr>
    </w:p>
    <w:p>
      <w:pPr>
        <w:ind w:firstLine="368"/>
        <w:spacing w:after="0" w:line="268" w:lineRule="auto"/>
        <w:rPr>
          <w:sz w:val="20"/>
          <w:szCs w:val="20"/>
          <w:color w:val="auto"/>
        </w:rPr>
      </w:pPr>
      <w:r>
        <w:rPr>
          <w:rFonts w:ascii="Arial" w:cs="Arial" w:eastAsia="Arial" w:hAnsi="Arial"/>
          <w:sz w:val="16"/>
          <w:szCs w:val="16"/>
          <w:color w:val="auto"/>
        </w:rPr>
        <w:t>The full extent of the impacts of the COVID-19 pandemic on our financial results and business operations are currently unknown and cannot be estimated with any degree of certainty. Impacts to our financial results may include, without limitation, (1) negative impacts to our current and prospective users’ ability to purchase or renew paid licenses for access to our platform, delays or defaults on payment obligations, which could negatively affect our revenues and cash flows, or modifications to net payment terms or invoice frequency, which could negatively affect our cash flows, (2) fluctuations in foreign currency exchange rates, which have and may continue to negatively impact our results of operations and cash flows, and (3) decreases in interest rates, which has and may continue to reduce interest income. Impacts to our business operations may include, without limitation, (1) disruptions to our sales operations and marketing efforts, (2) negative impacts to the financial condition or operations of our vendors and business partners, as well as disruptions to the supply chain of hardware needed to offer our services, (3) disruptions to our ability to conduct product development and other important business activities, and (4) potential postponement or cancellation of previously planned investments or other initiatives. Accordingly, the COVID-19 pandemic may have a negative impact on our financial results as well as our business operations, the magnitude and duration of which we are currently unable to predict. Additionally, concerns over the economic impact of the COVID-19 pandemic have caused extreme volatility in financial and other capital markets which may adversely impact our stock price.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211" w:lineRule="exact"/>
        <w:rPr>
          <w:sz w:val="20"/>
          <w:szCs w:val="20"/>
          <w:color w:val="auto"/>
        </w:rPr>
      </w:pPr>
    </w:p>
    <w:p>
      <w:pPr>
        <w:ind w:right="20" w:firstLine="381"/>
        <w:spacing w:after="0" w:line="255"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and Google and in the content collaboration market with products offered by Microsoft, Atlassian, Slack, and Google.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180" w:lineRule="exact"/>
        <w:rPr>
          <w:sz w:val="20"/>
          <w:szCs w:val="20"/>
          <w:color w:val="auto"/>
        </w:rPr>
      </w:pPr>
    </w:p>
    <w:p>
      <w:pPr>
        <w:ind w:left="1220" w:hanging="305"/>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123" w:right="3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left="1220" w:hanging="305"/>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brand;</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pricing.</w:t>
      </w:r>
    </w:p>
    <w:p>
      <w:pPr>
        <w:spacing w:after="0" w:line="211" w:lineRule="exact"/>
        <w:rPr>
          <w:sz w:val="20"/>
          <w:szCs w:val="20"/>
          <w:color w:val="auto"/>
        </w:rPr>
      </w:pPr>
    </w:p>
    <w:p>
      <w:pPr>
        <w:ind w:right="120" w:firstLine="381"/>
        <w:spacing w:after="0" w:line="272" w:lineRule="auto"/>
        <w:rPr>
          <w:sz w:val="20"/>
          <w:szCs w:val="20"/>
          <w:color w:val="auto"/>
        </w:rPr>
      </w:pPr>
      <w:r>
        <w:rPr>
          <w:rFonts w:ascii="Arial" w:cs="Arial" w:eastAsia="Arial" w:hAnsi="Arial"/>
          <w:sz w:val="16"/>
          <w:szCs w:val="16"/>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70" w:lineRule="exact"/>
        <w:rPr>
          <w:sz w:val="20"/>
          <w:szCs w:val="20"/>
          <w:color w:val="auto"/>
        </w:rPr>
      </w:pPr>
    </w:p>
    <w:p>
      <w:pPr>
        <w:ind w:right="80" w:firstLine="381"/>
        <w:spacing w:after="0" w:line="284"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59" w:lineRule="exact"/>
        <w:rPr>
          <w:sz w:val="20"/>
          <w:szCs w:val="20"/>
          <w:color w:val="auto"/>
        </w:rPr>
      </w:pPr>
    </w:p>
    <w:p>
      <w:pPr>
        <w:jc w:val="both"/>
        <w:ind w:right="40" w:firstLine="381"/>
        <w:spacing w:after="0" w:line="284" w:lineRule="auto"/>
        <w:rPr>
          <w:sz w:val="20"/>
          <w:szCs w:val="20"/>
          <w:color w:val="auto"/>
        </w:rPr>
      </w:pPr>
      <w:r>
        <w:rPr>
          <w:rFonts w:ascii="Arial" w:cs="Arial" w:eastAsia="Arial" w:hAnsi="Arial"/>
          <w:sz w:val="16"/>
          <w:szCs w:val="16"/>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59" w:lineRule="exact"/>
        <w:rPr>
          <w:sz w:val="20"/>
          <w:szCs w:val="20"/>
          <w:color w:val="auto"/>
        </w:rPr>
      </w:pPr>
    </w:p>
    <w:p>
      <w:pPr>
        <w:ind w:right="400"/>
        <w:spacing w:after="0" w:line="272" w:lineRule="auto"/>
        <w:rPr>
          <w:sz w:val="20"/>
          <w:szCs w:val="20"/>
          <w:color w:val="auto"/>
        </w:rPr>
      </w:pPr>
      <w:r>
        <w:rPr>
          <w:rFonts w:ascii="Arial" w:cs="Arial" w:eastAsia="Arial" w:hAnsi="Arial"/>
          <w:sz w:val="17"/>
          <w:szCs w:val="17"/>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66" w:lineRule="exact"/>
        <w:rPr>
          <w:sz w:val="20"/>
          <w:szCs w:val="20"/>
          <w:color w:val="auto"/>
        </w:rPr>
      </w:pPr>
    </w:p>
    <w:p>
      <w:pPr>
        <w:ind w:firstLine="381"/>
        <w:spacing w:after="0" w:line="287" w:lineRule="auto"/>
        <w:rPr>
          <w:sz w:val="20"/>
          <w:szCs w:val="20"/>
          <w:color w:val="auto"/>
        </w:rPr>
      </w:pPr>
      <w:r>
        <w:rPr>
          <w:rFonts w:ascii="Arial" w:cs="Arial" w:eastAsia="Arial" w:hAnsi="Arial"/>
          <w:sz w:val="15"/>
          <w:szCs w:val="15"/>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20"/>
          </w:cols>
          <w:pgMar w:left="320" w:top="123" w:right="3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220" w:firstLine="381"/>
        <w:spacing w:after="0" w:line="284" w:lineRule="auto"/>
        <w:rPr>
          <w:sz w:val="20"/>
          <w:szCs w:val="20"/>
          <w:color w:val="auto"/>
        </w:rPr>
      </w:pPr>
      <w:r>
        <w:rPr>
          <w:rFonts w:ascii="Arial" w:cs="Arial" w:eastAsia="Arial" w:hAnsi="Arial"/>
          <w:sz w:val="16"/>
          <w:szCs w:val="16"/>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such as during the ongoing COVID-19 pandemic.</w:t>
      </w:r>
    </w:p>
    <w:p>
      <w:pPr>
        <w:spacing w:after="0" w:line="159" w:lineRule="exact"/>
        <w:rPr>
          <w:sz w:val="20"/>
          <w:szCs w:val="20"/>
          <w:color w:val="auto"/>
        </w:rPr>
      </w:pPr>
    </w:p>
    <w:p>
      <w:pPr>
        <w:jc w:val="both"/>
        <w:ind w:right="100" w:firstLine="381"/>
        <w:spacing w:after="0" w:line="261" w:lineRule="auto"/>
        <w:rPr>
          <w:sz w:val="20"/>
          <w:szCs w:val="20"/>
          <w:color w:val="auto"/>
        </w:rPr>
      </w:pPr>
      <w:r>
        <w:rPr>
          <w:rFonts w:ascii="Arial" w:cs="Arial" w:eastAsia="Arial" w:hAnsi="Arial"/>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175" w:lineRule="exact"/>
        <w:rPr>
          <w:sz w:val="20"/>
          <w:szCs w:val="20"/>
          <w:color w:val="auto"/>
        </w:rPr>
      </w:pPr>
    </w:p>
    <w:p>
      <w:pPr>
        <w:ind w:firstLine="381"/>
        <w:spacing w:after="0" w:line="257" w:lineRule="auto"/>
        <w:rPr>
          <w:sz w:val="20"/>
          <w:szCs w:val="20"/>
          <w:color w:val="auto"/>
        </w:rPr>
      </w:pPr>
      <w:r>
        <w:rPr>
          <w:rFonts w:ascii="Arial" w:cs="Arial" w:eastAsia="Arial" w:hAnsi="Arial"/>
          <w:sz w:val="17"/>
          <w:szCs w:val="17"/>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78" w:lineRule="exact"/>
        <w:rPr>
          <w:sz w:val="20"/>
          <w:szCs w:val="20"/>
          <w:color w:val="auto"/>
        </w:rPr>
      </w:pPr>
    </w:p>
    <w:p>
      <w:pPr>
        <w:ind w:firstLine="381"/>
        <w:spacing w:after="0" w:line="289" w:lineRule="auto"/>
        <w:rPr>
          <w:sz w:val="20"/>
          <w:szCs w:val="20"/>
          <w:color w:val="auto"/>
        </w:rPr>
      </w:pPr>
      <w:r>
        <w:rPr>
          <w:rFonts w:ascii="Arial" w:cs="Arial" w:eastAsia="Arial" w:hAnsi="Arial"/>
          <w:sz w:val="15"/>
          <w:szCs w:val="15"/>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by any significant disruption of service on our platform or loss of content.</w:t>
      </w:r>
    </w:p>
    <w:p>
      <w:pPr>
        <w:spacing w:after="0" w:line="211" w:lineRule="exact"/>
        <w:rPr>
          <w:sz w:val="20"/>
          <w:szCs w:val="20"/>
          <w:color w:val="auto"/>
        </w:rPr>
      </w:pPr>
    </w:p>
    <w:p>
      <w:pPr>
        <w:ind w:right="80" w:firstLine="381"/>
        <w:spacing w:after="0" w:line="255"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80" w:lineRule="exact"/>
        <w:rPr>
          <w:sz w:val="20"/>
          <w:szCs w:val="20"/>
          <w:color w:val="auto"/>
        </w:rPr>
      </w:pPr>
    </w:p>
    <w:p>
      <w:pPr>
        <w:ind w:firstLine="381"/>
        <w:spacing w:after="0" w:line="255" w:lineRule="auto"/>
        <w:rPr>
          <w:sz w:val="20"/>
          <w:szCs w:val="20"/>
          <w:color w:val="auto"/>
        </w:rPr>
      </w:pPr>
      <w:r>
        <w:rPr>
          <w:rFonts w:ascii="Arial" w:cs="Arial" w:eastAsia="Arial" w:hAnsi="Arial"/>
          <w:sz w:val="17"/>
          <w:szCs w:val="17"/>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The vast majority of user content is stored on our own custom-built infrastructure at co-location facilities that we directly lease and operate.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80" w:lineRule="exact"/>
        <w:rPr>
          <w:sz w:val="20"/>
          <w:szCs w:val="20"/>
          <w:color w:val="auto"/>
        </w:rPr>
      </w:pPr>
    </w:p>
    <w:p>
      <w:pPr>
        <w:ind w:right="60" w:firstLine="381"/>
        <w:spacing w:after="0" w:line="269" w:lineRule="auto"/>
        <w:rPr>
          <w:sz w:val="20"/>
          <w:szCs w:val="20"/>
          <w:color w:val="auto"/>
        </w:rPr>
      </w:pPr>
      <w:r>
        <w:rPr>
          <w:rFonts w:ascii="Arial" w:cs="Arial" w:eastAsia="Arial" w:hAnsi="Arial"/>
          <w:sz w:val="16"/>
          <w:szCs w:val="16"/>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Significant and unforeseen disruptions to the supply chain, including those resulting from the COVID-19 pandemic, in addition to competition for a limited supply of such equipment, may impede our ability to meet our short-term or long-term infrastructure capacity requirements. Furthermore, our efforts to mitigate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20" w:top="123" w:right="3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disruptions and compete for such equipment may impact the timing and magnitude of our infrastructure spending, resulting in unexpected increases in shorter-term or longer-term costs than originally projected.</w:t>
      </w:r>
    </w:p>
    <w:p>
      <w:pPr>
        <w:spacing w:after="0" w:line="166" w:lineRule="exact"/>
        <w:rPr>
          <w:sz w:val="20"/>
          <w:szCs w:val="20"/>
          <w:color w:val="auto"/>
        </w:rPr>
      </w:pPr>
    </w:p>
    <w:p>
      <w:pPr>
        <w:ind w:right="80" w:firstLine="381"/>
        <w:spacing w:after="0" w:line="274" w:lineRule="auto"/>
        <w:rPr>
          <w:sz w:val="20"/>
          <w:szCs w:val="20"/>
          <w:color w:val="auto"/>
        </w:rPr>
      </w:pPr>
      <w:r>
        <w:rPr>
          <w:rFonts w:ascii="Arial" w:cs="Arial" w:eastAsia="Arial" w:hAnsi="Arial"/>
          <w:sz w:val="16"/>
          <w:szCs w:val="16"/>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6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66" w:lineRule="exact"/>
        <w:rPr>
          <w:sz w:val="20"/>
          <w:szCs w:val="20"/>
          <w:color w:val="auto"/>
        </w:rPr>
      </w:pPr>
    </w:p>
    <w:p>
      <w:pPr>
        <w:ind w:right="160" w:firstLine="381"/>
        <w:spacing w:after="0" w:line="261"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175" w:lineRule="exact"/>
        <w:rPr>
          <w:sz w:val="20"/>
          <w:szCs w:val="20"/>
          <w:color w:val="auto"/>
        </w:rPr>
      </w:pPr>
    </w:p>
    <w:p>
      <w:pPr>
        <w:jc w:val="both"/>
        <w:ind w:right="320" w:firstLine="381"/>
        <w:spacing w:after="0" w:line="261" w:lineRule="auto"/>
        <w:rPr>
          <w:sz w:val="20"/>
          <w:szCs w:val="20"/>
          <w:color w:val="auto"/>
        </w:rPr>
      </w:pPr>
      <w:r>
        <w:rPr>
          <w:rFonts w:ascii="Arial" w:cs="Arial" w:eastAsia="Arial" w:hAnsi="Arial"/>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75" w:lineRule="exact"/>
        <w:rPr>
          <w:sz w:val="20"/>
          <w:szCs w:val="20"/>
          <w:color w:val="auto"/>
        </w:rPr>
      </w:pPr>
    </w:p>
    <w:p>
      <w:pPr>
        <w:ind w:left="1220" w:hanging="305"/>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awareness of the content collaboration category generally;</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brand;</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customer support; and</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pricing.</w:t>
      </w:r>
    </w:p>
    <w:p>
      <w:pPr>
        <w:spacing w:after="0" w:line="211" w:lineRule="exact"/>
        <w:rPr>
          <w:sz w:val="20"/>
          <w:szCs w:val="20"/>
          <w:color w:val="auto"/>
        </w:rPr>
      </w:pPr>
    </w:p>
    <w:p>
      <w:pPr>
        <w:ind w:right="180" w:firstLine="381"/>
        <w:spacing w:after="0" w:line="261" w:lineRule="auto"/>
        <w:rPr>
          <w:sz w:val="20"/>
          <w:szCs w:val="20"/>
          <w:color w:val="auto"/>
        </w:rPr>
      </w:pPr>
      <w:r>
        <w:rPr>
          <w:rFonts w:ascii="Arial" w:cs="Arial" w:eastAsia="Arial" w:hAnsi="Arial"/>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34" w:lineRule="exact"/>
        <w:rPr>
          <w:sz w:val="20"/>
          <w:szCs w:val="20"/>
          <w:color w:val="auto"/>
        </w:rPr>
      </w:pPr>
    </w:p>
    <w:p>
      <w:pPr>
        <w:ind w:right="100" w:firstLine="381"/>
        <w:spacing w:after="0" w:line="290" w:lineRule="auto"/>
        <w:rPr>
          <w:sz w:val="20"/>
          <w:szCs w:val="20"/>
          <w:color w:val="auto"/>
        </w:rPr>
      </w:pPr>
      <w:r>
        <w:rPr>
          <w:rFonts w:ascii="Arial" w:cs="Arial" w:eastAsia="Arial" w:hAnsi="Arial"/>
          <w:sz w:val="15"/>
          <w:szCs w:val="15"/>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320" w:top="123" w:right="3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20" w:firstLine="381"/>
        <w:spacing w:after="0" w:line="270"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37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66" w:lineRule="exact"/>
        <w:rPr>
          <w:sz w:val="20"/>
          <w:szCs w:val="20"/>
          <w:color w:val="auto"/>
        </w:rPr>
      </w:pPr>
    </w:p>
    <w:p>
      <w:pPr>
        <w:ind w:firstLine="381"/>
        <w:spacing w:after="0" w:line="288" w:lineRule="auto"/>
        <w:rPr>
          <w:sz w:val="20"/>
          <w:szCs w:val="20"/>
          <w:color w:val="auto"/>
        </w:rPr>
      </w:pPr>
      <w:r>
        <w:rPr>
          <w:rFonts w:ascii="Arial" w:cs="Arial" w:eastAsia="Arial" w:hAnsi="Arial"/>
          <w:sz w:val="15"/>
          <w:szCs w:val="15"/>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in 2017, we released Smart Sync, an advanced productivity feature, and introduced Paper, a collaborative product experience. In 2018, we announced Dropbox Extensions, which allows users to initiate and manage workflows with third-party partner applications from Dropbox. More recently, in 2019, we launched Dropbox Spaces, an evolution of the shared folder which creates a collaborative workspace for individuals and teams to work together.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160" w:lineRule="exact"/>
        <w:rPr>
          <w:sz w:val="20"/>
          <w:szCs w:val="20"/>
          <w:color w:val="auto"/>
        </w:rPr>
      </w:pPr>
    </w:p>
    <w:p>
      <w:pPr>
        <w:ind w:right="100" w:firstLine="381"/>
        <w:spacing w:after="0" w:line="268"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as a result of the ongoing COVID-19 pandemic, we are temporarily requiring substantially all of our employees to work remotely, which may lead to disruptions and decreased productivity that could result in delays in our product development process.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to our platform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may increase expenses in the future, and we may not be able to achieve or maintain profitability.</w:t>
      </w:r>
    </w:p>
    <w:p>
      <w:pPr>
        <w:spacing w:after="0" w:line="211" w:lineRule="exact"/>
        <w:rPr>
          <w:sz w:val="20"/>
          <w:szCs w:val="20"/>
          <w:color w:val="auto"/>
        </w:rPr>
      </w:pPr>
    </w:p>
    <w:p>
      <w:pPr>
        <w:ind w:right="80" w:firstLine="381"/>
        <w:spacing w:after="0" w:line="274" w:lineRule="auto"/>
        <w:rPr>
          <w:sz w:val="20"/>
          <w:szCs w:val="20"/>
          <w:color w:val="auto"/>
        </w:rPr>
      </w:pPr>
      <w:r>
        <w:rPr>
          <w:rFonts w:ascii="Arial" w:cs="Arial" w:eastAsia="Arial" w:hAnsi="Arial"/>
          <w:sz w:val="16"/>
          <w:szCs w:val="16"/>
          <w:color w:val="auto"/>
        </w:rPr>
        <w:t>We have incurred net losses on an annual basis since our inception. We incurred net losses of $52.7 million, $484.9 million, and $111.7 million in the years ended December 31, 2019, 2018, and 2017, respectively, and we had an accumulated deficit of $1,726.2 million as of December 31, 2019. While we were profitable on a GAAP basis for the first and second fiscal quarters of 2020, we may not be profitable in future quarters. As we strive to grow our business, expenses may increase in the near term, particularly as we continue to make investments to scale our business. For example, we will need an increasing amount of technical infrastructure to continue to satisfy the needs of our user base. Our research and development expenses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00"/>
          </w:cols>
          <w:pgMar w:left="320" w:top="123" w:right="3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may also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We may also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manage our growth or plan for future growth.</w:t>
      </w:r>
    </w:p>
    <w:p>
      <w:pPr>
        <w:spacing w:after="0" w:line="211"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Since our founding in 2007, we have experienced rapid growth. For example, our headcount has grown from 1,612 employees as of December 31, 2016, to 2,801 employees as of December 31, 2019, with employees 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156" w:lineRule="exact"/>
        <w:rPr>
          <w:sz w:val="20"/>
          <w:szCs w:val="20"/>
          <w:color w:val="auto"/>
        </w:rPr>
      </w:pPr>
    </w:p>
    <w:p>
      <w:pPr>
        <w:ind w:right="40" w:firstLine="381"/>
        <w:spacing w:after="0" w:line="302" w:lineRule="auto"/>
        <w:rPr>
          <w:sz w:val="20"/>
          <w:szCs w:val="20"/>
          <w:color w:val="auto"/>
        </w:rPr>
      </w:pPr>
      <w:r>
        <w:rPr>
          <w:rFonts w:ascii="Arial" w:cs="Arial" w:eastAsia="Arial" w:hAnsi="Arial"/>
          <w:sz w:val="15"/>
          <w:szCs w:val="15"/>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lack of a significant outbound sales force may limit the potential growth of our business.</w:t>
      </w:r>
    </w:p>
    <w:p>
      <w:pPr>
        <w:spacing w:after="0" w:line="211" w:lineRule="exact"/>
        <w:rPr>
          <w:sz w:val="20"/>
          <w:szCs w:val="20"/>
          <w:color w:val="auto"/>
        </w:rPr>
      </w:pPr>
    </w:p>
    <w:p>
      <w:pPr>
        <w:ind w:firstLine="381"/>
        <w:spacing w:after="0" w:line="269"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expand sales to large organizations, which could lengthen sales cycles and result in greater deployment challenges.</w:t>
      </w:r>
    </w:p>
    <w:p>
      <w:pPr>
        <w:spacing w:after="0" w:line="211" w:lineRule="exact"/>
        <w:rPr>
          <w:sz w:val="20"/>
          <w:szCs w:val="20"/>
          <w:color w:val="auto"/>
        </w:rPr>
      </w:pPr>
    </w:p>
    <w:p>
      <w:pPr>
        <w:ind w:firstLine="381"/>
        <w:spacing w:after="0" w:line="286" w:lineRule="auto"/>
        <w:rPr>
          <w:sz w:val="20"/>
          <w:szCs w:val="20"/>
          <w:color w:val="auto"/>
        </w:rPr>
      </w:pPr>
      <w:r>
        <w:rPr>
          <w:rFonts w:ascii="Arial" w:cs="Arial" w:eastAsia="Arial" w:hAnsi="Arial"/>
          <w:sz w:val="15"/>
          <w:szCs w:val="15"/>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w:t>
      </w:r>
    </w:p>
    <w:p>
      <w:pPr>
        <w:spacing w:after="0" w:line="2"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.Additionally, our ability to sell via an outbound sales force has been, may continue to be, impeded by catastrophic events, including public health epidemics such as the ongoing COVID-19 pandemic, that limit our ability to travel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123" w:right="3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or meet in person. As a result, sales to large organizations may lead to greater unpredictability in our business, results of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offer high-quality customer support may harm our relationships with our users and our financial results.</w:t>
      </w:r>
    </w:p>
    <w:p>
      <w:pPr>
        <w:spacing w:after="0" w:line="211" w:lineRule="exact"/>
        <w:rPr>
          <w:sz w:val="20"/>
          <w:szCs w:val="20"/>
          <w:color w:val="auto"/>
        </w:rPr>
      </w:pPr>
    </w:p>
    <w:p>
      <w:pPr>
        <w:ind w:firstLine="381"/>
        <w:spacing w:after="0" w:line="286" w:lineRule="auto"/>
        <w:rPr>
          <w:sz w:val="20"/>
          <w:szCs w:val="20"/>
          <w:color w:val="auto"/>
        </w:rPr>
      </w:pPr>
      <w:r>
        <w:rPr>
          <w:rFonts w:ascii="Arial" w:cs="Arial" w:eastAsia="Arial" w:hAnsi="Arial"/>
          <w:sz w:val="15"/>
          <w:szCs w:val="15"/>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w:t>
      </w:r>
    </w:p>
    <w:p>
      <w:pPr>
        <w:spacing w:after="0" w:line="2"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8.8 million as of December 31, 2016, to 15.0 million as of June 30, 2020.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11" w:lineRule="exact"/>
        <w:rPr>
          <w:sz w:val="20"/>
          <w:szCs w:val="20"/>
          <w:color w:val="auto"/>
        </w:rPr>
      </w:pPr>
    </w:p>
    <w:p>
      <w:pPr>
        <w:ind w:right="60" w:firstLine="381"/>
        <w:spacing w:after="0" w:line="271" w:lineRule="auto"/>
        <w:rPr>
          <w:sz w:val="20"/>
          <w:szCs w:val="20"/>
          <w:color w:val="auto"/>
        </w:rPr>
      </w:pPr>
      <w:r>
        <w:rPr>
          <w:rFonts w:ascii="Arial" w:cs="Arial" w:eastAsia="Arial" w:hAnsi="Arial"/>
          <w:sz w:val="16"/>
          <w:szCs w:val="16"/>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were profitable on a GAAP basis for the first and second fiscal quarters of 2020, our quarterly operating results have fluctuated in the past and will fluctuate in the future and we may not be profitable in future quarters.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70" w:lineRule="exact"/>
        <w:rPr>
          <w:sz w:val="20"/>
          <w:szCs w:val="20"/>
          <w:color w:val="auto"/>
        </w:rPr>
      </w:pPr>
    </w:p>
    <w:p>
      <w:pPr>
        <w:ind w:left="1220" w:hanging="305"/>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attract new paying users and convert registered to paying users;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210" w:lineRule="exact"/>
        <w:rPr>
          <w:rFonts w:ascii="Arial" w:cs="Arial" w:eastAsia="Arial" w:hAnsi="Arial"/>
          <w:sz w:val="17"/>
          <w:szCs w:val="17"/>
          <w:color w:val="auto"/>
        </w:rPr>
      </w:pPr>
    </w:p>
    <w:p>
      <w:pPr>
        <w:ind w:left="1220" w:right="180" w:hanging="305"/>
        <w:spacing w:after="0" w:line="272" w:lineRule="auto"/>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entry into operating and finance leases;</w:t>
      </w:r>
    </w:p>
    <w:p>
      <w:pPr>
        <w:spacing w:after="0" w:line="166" w:lineRule="exact"/>
        <w:rPr>
          <w:rFonts w:ascii="Arial" w:cs="Arial" w:eastAsia="Arial" w:hAnsi="Arial"/>
          <w:sz w:val="17"/>
          <w:szCs w:val="17"/>
          <w:color w:val="auto"/>
        </w:rPr>
      </w:pPr>
    </w:p>
    <w:p>
      <w:pPr>
        <w:ind w:left="1220" w:hanging="305"/>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expenses related to acquisitions;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and success of new product feature and service introductions by us or our competitors;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and market conditions; and</w:t>
      </w:r>
    </w:p>
    <w:p>
      <w:pPr>
        <w:spacing w:after="0" w:line="210" w:lineRule="exact"/>
        <w:rPr>
          <w:rFonts w:ascii="Arial" w:cs="Arial" w:eastAsia="Arial" w:hAnsi="Arial"/>
          <w:sz w:val="17"/>
          <w:szCs w:val="17"/>
          <w:color w:val="auto"/>
        </w:rPr>
      </w:pPr>
    </w:p>
    <w:p>
      <w:pPr>
        <w:ind w:left="1220" w:right="160" w:hanging="305"/>
        <w:spacing w:after="0" w:line="305" w:lineRule="auto"/>
        <w:tabs>
          <w:tab w:leader="none" w:pos="1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the ongoing COVID-19 pandemic.</w:t>
      </w: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160"/>
          </w:cols>
          <w:pgMar w:left="320" w:top="123" w:right="41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660"/>
        <w:spacing w:after="0" w:line="272" w:lineRule="auto"/>
        <w:rPr>
          <w:sz w:val="20"/>
          <w:szCs w:val="20"/>
          <w:color w:val="auto"/>
        </w:rPr>
      </w:pPr>
      <w:r>
        <w:rPr>
          <w:rFonts w:ascii="Arial" w:cs="Arial" w:eastAsia="Arial" w:hAnsi="Arial"/>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66" w:lineRule="exact"/>
        <w:rPr>
          <w:sz w:val="20"/>
          <w:szCs w:val="20"/>
          <w:color w:val="auto"/>
        </w:rPr>
      </w:pPr>
    </w:p>
    <w:p>
      <w:pPr>
        <w:ind w:right="200" w:firstLine="381"/>
        <w:spacing w:after="0" w:line="290" w:lineRule="auto"/>
        <w:rPr>
          <w:sz w:val="20"/>
          <w:szCs w:val="20"/>
          <w:color w:val="auto"/>
        </w:rPr>
      </w:pPr>
      <w:r>
        <w:rPr>
          <w:rFonts w:ascii="Arial" w:cs="Arial" w:eastAsia="Arial" w:hAnsi="Arial"/>
          <w:sz w:val="15"/>
          <w:szCs w:val="15"/>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60" w:lineRule="exact"/>
        <w:rPr>
          <w:sz w:val="20"/>
          <w:szCs w:val="20"/>
          <w:color w:val="auto"/>
        </w:rPr>
      </w:pPr>
    </w:p>
    <w:p>
      <w:pPr>
        <w:ind w:right="360"/>
        <w:spacing w:after="0" w:line="272"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66" w:lineRule="exact"/>
        <w:rPr>
          <w:sz w:val="20"/>
          <w:szCs w:val="20"/>
          <w:color w:val="auto"/>
        </w:rPr>
      </w:pPr>
    </w:p>
    <w:p>
      <w:pPr>
        <w:ind w:firstLine="381"/>
        <w:spacing w:after="0" w:line="252" w:lineRule="auto"/>
        <w:rPr>
          <w:sz w:val="20"/>
          <w:szCs w:val="20"/>
          <w:color w:val="auto"/>
        </w:rPr>
      </w:pPr>
      <w:r>
        <w:rPr>
          <w:rFonts w:ascii="Arial" w:cs="Arial" w:eastAsia="Arial" w:hAnsi="Arial"/>
          <w:sz w:val="17"/>
          <w:szCs w:val="17"/>
          <w:color w:val="auto"/>
        </w:rPr>
        <w:t>We depend on the continued service and performance of our key personnel. In particular, Andrew W. Houston, our President and Chief Executive Officer and one of our co-founders, is critical to our vision, strategic direction, culture, and offerings. From time to time, there have been changes in our management team resulting from the hiring or departure of our executives, and there may be additional changes in the future. For example, Ajay Vashee, our Chief Financial Officer, has announced his resignation, and Timothy Regan, our Chief Accounting Officer, has been appointed to succeed him, effective September 2020. In addition, Olivia Nottebohm joined us as our Chief Operating Officer in February 2020, and other key personnel have also recently joined us or been appointed to new roles.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186" w:lineRule="exact"/>
        <w:rPr>
          <w:sz w:val="20"/>
          <w:szCs w:val="20"/>
          <w:color w:val="auto"/>
        </w:rPr>
      </w:pPr>
    </w:p>
    <w:p>
      <w:pPr>
        <w:jc w:val="both"/>
        <w:ind w:right="200" w:firstLine="381"/>
        <w:spacing w:after="0" w:line="284" w:lineRule="auto"/>
        <w:rPr>
          <w:sz w:val="20"/>
          <w:szCs w:val="20"/>
          <w:color w:val="auto"/>
        </w:rPr>
      </w:pPr>
      <w:r>
        <w:rPr>
          <w:rFonts w:ascii="Arial" w:cs="Arial" w:eastAsia="Arial" w:hAnsi="Arial"/>
          <w:sz w:val="16"/>
          <w:szCs w:val="16"/>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59" w:lineRule="exact"/>
        <w:rPr>
          <w:sz w:val="20"/>
          <w:szCs w:val="20"/>
          <w:color w:val="auto"/>
        </w:rPr>
      </w:pPr>
    </w:p>
    <w:p>
      <w:pPr>
        <w:ind w:right="40" w:firstLine="381"/>
        <w:spacing w:after="0" w:line="289" w:lineRule="auto"/>
        <w:rPr>
          <w:sz w:val="20"/>
          <w:szCs w:val="20"/>
          <w:color w:val="auto"/>
        </w:rPr>
      </w:pPr>
      <w:r>
        <w:rPr>
          <w:rFonts w:ascii="Arial" w:cs="Arial" w:eastAsia="Arial" w:hAnsi="Arial"/>
          <w:sz w:val="15"/>
          <w:szCs w:val="15"/>
          <w:color w:val="auto"/>
        </w:rPr>
        <w:t>To execute our growth plan, we must attract and retain highly qualified personnel. Competition for these employees is intense, particularly in the San Francisco Bay Area where our headquarters is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61" w:lineRule="exact"/>
        <w:rPr>
          <w:sz w:val="20"/>
          <w:szCs w:val="20"/>
          <w:color w:val="auto"/>
        </w:rPr>
      </w:pPr>
    </w:p>
    <w:p>
      <w:pPr>
        <w:ind w:right="380" w:firstLine="381"/>
        <w:spacing w:after="0" w:line="261" w:lineRule="auto"/>
        <w:rPr>
          <w:sz w:val="20"/>
          <w:szCs w:val="20"/>
          <w:color w:val="auto"/>
        </w:rPr>
      </w:pPr>
      <w:r>
        <w:rPr>
          <w:rFonts w:ascii="Arial" w:cs="Arial" w:eastAsia="Arial" w:hAnsi="Arial"/>
          <w:sz w:val="17"/>
          <w:szCs w:val="17"/>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17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66" w:lineRule="exact"/>
        <w:rPr>
          <w:sz w:val="20"/>
          <w:szCs w:val="20"/>
          <w:color w:val="auto"/>
        </w:rPr>
      </w:pPr>
    </w:p>
    <w:p>
      <w:pPr>
        <w:ind w:right="100" w:firstLine="381"/>
        <w:spacing w:after="0" w:line="278" w:lineRule="auto"/>
        <w:rPr>
          <w:sz w:val="20"/>
          <w:szCs w:val="20"/>
          <w:color w:val="auto"/>
        </w:rPr>
      </w:pPr>
      <w:r>
        <w:rPr>
          <w:rFonts w:ascii="Arial" w:cs="Arial" w:eastAsia="Arial" w:hAnsi="Arial"/>
          <w:sz w:val="16"/>
          <w:szCs w:val="16"/>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40"/>
          </w:cols>
          <w:pgMar w:left="320" w:top="123" w:right="3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420"/>
        <w:spacing w:after="0" w:line="272" w:lineRule="auto"/>
        <w:rPr>
          <w:sz w:val="20"/>
          <w:szCs w:val="20"/>
          <w:color w:val="auto"/>
        </w:rPr>
      </w:pPr>
      <w:r>
        <w:rPr>
          <w:rFonts w:ascii="Arial" w:cs="Arial" w:eastAsia="Arial" w:hAnsi="Arial"/>
          <w:sz w:val="17"/>
          <w:szCs w:val="17"/>
          <w:color w:val="auto"/>
        </w:rPr>
        <w:t>Additionally, if we fail to promote and maintain the Dropbox brand, our business, results of operations, and financial condition will be materially and adversely affected.</w:t>
      </w:r>
    </w:p>
    <w:p>
      <w:pPr>
        <w:spacing w:after="0" w:line="16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66" w:lineRule="exact"/>
        <w:rPr>
          <w:sz w:val="20"/>
          <w:szCs w:val="20"/>
          <w:color w:val="auto"/>
        </w:rPr>
      </w:pPr>
    </w:p>
    <w:p>
      <w:pPr>
        <w:ind w:firstLine="381"/>
        <w:spacing w:after="0" w:line="270" w:lineRule="auto"/>
        <w:rPr>
          <w:sz w:val="20"/>
          <w:szCs w:val="20"/>
          <w:color w:val="auto"/>
        </w:rPr>
      </w:pPr>
      <w:r>
        <w:rPr>
          <w:rFonts w:ascii="Arial" w:cs="Arial" w:eastAsia="Arial" w:hAnsi="Arial"/>
          <w:sz w:val="16"/>
          <w:szCs w:val="16"/>
          <w:color w:val="auto"/>
        </w:rPr>
        <w:t>We have paying users across 180 countries and approximately half of our revenue in the year ended December 31, 2019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72" w:lineRule="exact"/>
        <w:rPr>
          <w:sz w:val="20"/>
          <w:szCs w:val="20"/>
          <w:color w:val="auto"/>
        </w:rPr>
      </w:pPr>
    </w:p>
    <w:p>
      <w:pPr>
        <w:jc w:val="both"/>
        <w:ind w:left="1220" w:right="220" w:hanging="305"/>
        <w:spacing w:after="0" w:line="261"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74" w:lineRule="exact"/>
        <w:rPr>
          <w:rFonts w:ascii="Arial" w:cs="Arial" w:eastAsia="Arial" w:hAnsi="Arial"/>
          <w:sz w:val="17"/>
          <w:szCs w:val="17"/>
          <w:color w:val="auto"/>
        </w:rPr>
      </w:pPr>
    </w:p>
    <w:p>
      <w:pPr>
        <w:ind w:left="1220" w:hanging="305"/>
        <w:spacing w:after="0"/>
        <w:tabs>
          <w:tab w:leader="none" w:pos="12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recruiting and retaining talented and capable employees outside the United States, and maintaining our company culture across all of our offices;</w:t>
      </w:r>
    </w:p>
    <w:p>
      <w:pPr>
        <w:spacing w:after="0" w:line="233" w:lineRule="exact"/>
        <w:rPr>
          <w:rFonts w:ascii="Arial" w:cs="Arial" w:eastAsia="Arial" w:hAnsi="Arial"/>
          <w:sz w:val="15"/>
          <w:szCs w:val="15"/>
          <w:color w:val="auto"/>
        </w:rPr>
      </w:pPr>
    </w:p>
    <w:p>
      <w:pPr>
        <w:ind w:left="1220" w:right="140" w:hanging="305"/>
        <w:spacing w:after="0" w:line="341" w:lineRule="auto"/>
        <w:tabs>
          <w:tab w:leader="none" w:pos="12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19" w:lineRule="exact"/>
        <w:rPr>
          <w:rFonts w:ascii="Arial" w:cs="Arial" w:eastAsia="Arial" w:hAnsi="Arial"/>
          <w:sz w:val="15"/>
          <w:szCs w:val="15"/>
          <w:color w:val="auto"/>
        </w:rPr>
      </w:pPr>
    </w:p>
    <w:p>
      <w:pPr>
        <w:ind w:left="1220" w:hanging="305"/>
        <w:spacing w:after="0"/>
        <w:tabs>
          <w:tab w:leader="none" w:pos="12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233" w:lineRule="exact"/>
        <w:rPr>
          <w:rFonts w:ascii="Arial" w:cs="Arial" w:eastAsia="Arial" w:hAnsi="Arial"/>
          <w:sz w:val="15"/>
          <w:szCs w:val="15"/>
          <w:color w:val="auto"/>
        </w:rPr>
      </w:pPr>
    </w:p>
    <w:p>
      <w:pPr>
        <w:ind w:left="1220" w:hanging="305"/>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w:t>
      </w:r>
    </w:p>
    <w:p>
      <w:pPr>
        <w:spacing w:after="0" w:line="210" w:lineRule="exact"/>
        <w:rPr>
          <w:rFonts w:ascii="Arial" w:cs="Arial" w:eastAsia="Arial" w:hAnsi="Arial"/>
          <w:sz w:val="17"/>
          <w:szCs w:val="17"/>
          <w:color w:val="auto"/>
        </w:rPr>
      </w:pPr>
    </w:p>
    <w:p>
      <w:pPr>
        <w:ind w:left="1220" w:right="220" w:hanging="305"/>
        <w:spacing w:after="0" w:line="272"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66" w:lineRule="exact"/>
        <w:rPr>
          <w:rFonts w:ascii="Arial" w:cs="Arial" w:eastAsia="Arial" w:hAnsi="Arial"/>
          <w:sz w:val="17"/>
          <w:szCs w:val="17"/>
          <w:color w:val="auto"/>
        </w:rPr>
      </w:pPr>
    </w:p>
    <w:p>
      <w:pPr>
        <w:ind w:left="1220" w:right="300" w:hanging="305"/>
        <w:spacing w:after="0" w:line="272"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66" w:lineRule="exact"/>
        <w:rPr>
          <w:rFonts w:ascii="Arial" w:cs="Arial" w:eastAsia="Arial" w:hAnsi="Arial"/>
          <w:sz w:val="17"/>
          <w:szCs w:val="17"/>
          <w:color w:val="auto"/>
        </w:rPr>
      </w:pPr>
    </w:p>
    <w:p>
      <w:pPr>
        <w:ind w:left="1220" w:hanging="305"/>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210" w:lineRule="exact"/>
        <w:rPr>
          <w:rFonts w:ascii="Arial" w:cs="Arial" w:eastAsia="Arial" w:hAnsi="Arial"/>
          <w:sz w:val="17"/>
          <w:szCs w:val="17"/>
          <w:color w:val="auto"/>
        </w:rPr>
      </w:pPr>
    </w:p>
    <w:p>
      <w:pPr>
        <w:ind w:left="1220" w:right="500" w:hanging="305"/>
        <w:spacing w:after="0" w:line="272"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66" w:lineRule="exact"/>
        <w:rPr>
          <w:rFonts w:ascii="Arial" w:cs="Arial" w:eastAsia="Arial" w:hAnsi="Arial"/>
          <w:sz w:val="17"/>
          <w:szCs w:val="17"/>
          <w:color w:val="auto"/>
        </w:rPr>
      </w:pPr>
    </w:p>
    <w:p>
      <w:pPr>
        <w:ind w:left="1220" w:right="440" w:hanging="305"/>
        <w:spacing w:after="0" w:line="272"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66" w:lineRule="exact"/>
        <w:rPr>
          <w:rFonts w:ascii="Arial" w:cs="Arial" w:eastAsia="Arial" w:hAnsi="Arial"/>
          <w:sz w:val="17"/>
          <w:szCs w:val="17"/>
          <w:color w:val="auto"/>
        </w:rPr>
      </w:pPr>
    </w:p>
    <w:p>
      <w:pPr>
        <w:ind w:left="1220" w:hanging="305"/>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10" w:lineRule="exact"/>
        <w:rPr>
          <w:rFonts w:ascii="Arial" w:cs="Arial" w:eastAsia="Arial" w:hAnsi="Arial"/>
          <w:sz w:val="17"/>
          <w:szCs w:val="17"/>
          <w:color w:val="auto"/>
        </w:rPr>
      </w:pPr>
    </w:p>
    <w:p>
      <w:pPr>
        <w:ind w:left="1220" w:right="100" w:hanging="305"/>
        <w:spacing w:after="0" w:line="272"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natural disasters and public health epidemics on employees, travel and the global economy, including the ongoing global COVID-19 pandemic.</w:t>
      </w:r>
    </w:p>
    <w:p>
      <w:pPr>
        <w:spacing w:after="0" w:line="166" w:lineRule="exact"/>
        <w:rPr>
          <w:sz w:val="20"/>
          <w:szCs w:val="20"/>
          <w:color w:val="auto"/>
        </w:rPr>
      </w:pPr>
    </w:p>
    <w:p>
      <w:pPr>
        <w:ind w:right="220" w:firstLine="381"/>
        <w:spacing w:after="0" w:line="257"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20"/>
          </w:cols>
          <w:pgMar w:left="320" w:top="123" w:right="3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jc w:val="both"/>
        <w:ind w:right="240"/>
        <w:spacing w:after="0" w:line="261" w:lineRule="auto"/>
        <w:rPr>
          <w:sz w:val="20"/>
          <w:szCs w:val="20"/>
          <w:color w:val="auto"/>
        </w:rPr>
      </w:pPr>
      <w:r>
        <w:rPr>
          <w:rFonts w:ascii="Arial" w:cs="Arial" w:eastAsia="Arial" w:hAnsi="Arial"/>
          <w:sz w:val="17"/>
          <w:szCs w:val="17"/>
          <w:color w:val="auto"/>
        </w:rPr>
        <w:t>comply. Any violations could result in regulatory investigations and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34" w:lineRule="exact"/>
        <w:rPr>
          <w:sz w:val="20"/>
          <w:szCs w:val="20"/>
          <w:color w:val="auto"/>
        </w:rPr>
      </w:pPr>
    </w:p>
    <w:p>
      <w:pPr>
        <w:ind w:right="60" w:firstLine="381"/>
        <w:spacing w:after="0" w:line="290" w:lineRule="auto"/>
        <w:rPr>
          <w:sz w:val="20"/>
          <w:szCs w:val="20"/>
          <w:color w:val="auto"/>
        </w:rPr>
      </w:pPr>
      <w:r>
        <w:rPr>
          <w:rFonts w:ascii="Arial" w:cs="Arial" w:eastAsia="Arial" w:hAnsi="Arial"/>
          <w:sz w:val="15"/>
          <w:szCs w:val="15"/>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2019, 29% of our sales were denominated in currencies other than U.S. dollars. Our expenses, by contrast, are primarily denominated in U.S. dollars. As a result, any increase in the value of the U.S. dollar against these foreign currencies, including those resulting from the impact of the COVID-19 pandemic,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60" w:lineRule="exact"/>
        <w:rPr>
          <w:sz w:val="20"/>
          <w:szCs w:val="20"/>
          <w:color w:val="auto"/>
        </w:rPr>
      </w:pPr>
    </w:p>
    <w:p>
      <w:pPr>
        <w:ind w:right="640"/>
        <w:spacing w:after="0" w:line="272" w:lineRule="auto"/>
        <w:rPr>
          <w:sz w:val="20"/>
          <w:szCs w:val="20"/>
          <w:color w:val="auto"/>
        </w:rPr>
      </w:pPr>
      <w:r>
        <w:rPr>
          <w:rFonts w:ascii="Arial" w:cs="Arial" w:eastAsia="Arial" w:hAnsi="Arial"/>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66" w:lineRule="exact"/>
        <w:rPr>
          <w:sz w:val="20"/>
          <w:szCs w:val="20"/>
          <w:color w:val="auto"/>
        </w:rPr>
      </w:pPr>
    </w:p>
    <w:p>
      <w:pPr>
        <w:ind w:right="40" w:firstLine="381"/>
        <w:spacing w:after="0" w:line="278"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63" w:lineRule="exact"/>
        <w:rPr>
          <w:sz w:val="20"/>
          <w:szCs w:val="20"/>
          <w:color w:val="auto"/>
        </w:rPr>
      </w:pPr>
    </w:p>
    <w:p>
      <w:pPr>
        <w:ind w:firstLine="381"/>
        <w:spacing w:after="0" w:line="253"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82" w:lineRule="exact"/>
        <w:rPr>
          <w:sz w:val="20"/>
          <w:szCs w:val="20"/>
          <w:color w:val="auto"/>
        </w:rPr>
      </w:pPr>
    </w:p>
    <w:p>
      <w:pPr>
        <w:ind w:right="20" w:firstLine="381"/>
        <w:spacing w:after="0" w:line="272"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66" w:lineRule="exact"/>
        <w:rPr>
          <w:sz w:val="20"/>
          <w:szCs w:val="20"/>
          <w:color w:val="auto"/>
        </w:rPr>
      </w:pPr>
    </w:p>
    <w:p>
      <w:pPr>
        <w:ind w:right="100" w:firstLine="381"/>
        <w:spacing w:after="0" w:line="254"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40"/>
          </w:cols>
          <w:pgMar w:left="320" w:top="123" w:right="3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100" w:firstLine="381"/>
        <w:spacing w:after="0" w:line="297" w:lineRule="auto"/>
        <w:rPr>
          <w:sz w:val="20"/>
          <w:szCs w:val="20"/>
          <w:color w:val="auto"/>
        </w:rPr>
      </w:pPr>
      <w:r>
        <w:rPr>
          <w:rFonts w:ascii="Arial" w:cs="Arial" w:eastAsia="Arial" w:hAnsi="Arial"/>
          <w:sz w:val="15"/>
          <w:szCs w:val="15"/>
          <w:color w:val="auto"/>
        </w:rPr>
        <w:t>We also depend on our ecosystem of developers to create applications that will integrate with our platform. As of December 31, 2019, Dropbox was receiving over 50 billion API calls per month, and more than 750,000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151" w:lineRule="exact"/>
        <w:rPr>
          <w:sz w:val="20"/>
          <w:szCs w:val="20"/>
          <w:color w:val="auto"/>
        </w:rPr>
      </w:pPr>
    </w:p>
    <w:p>
      <w:pPr>
        <w:ind w:right="180"/>
        <w:spacing w:after="0" w:line="341"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19" w:lineRule="exact"/>
        <w:rPr>
          <w:sz w:val="20"/>
          <w:szCs w:val="20"/>
          <w:color w:val="auto"/>
        </w:rPr>
      </w:pPr>
    </w:p>
    <w:p>
      <w:pPr>
        <w:ind w:right="140" w:firstLine="381"/>
        <w:spacing w:after="0" w:line="253"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82" w:lineRule="exact"/>
        <w:rPr>
          <w:sz w:val="20"/>
          <w:szCs w:val="20"/>
          <w:color w:val="auto"/>
        </w:rPr>
      </w:pPr>
    </w:p>
    <w:p>
      <w:pPr>
        <w:ind w:right="100" w:firstLine="381"/>
        <w:spacing w:after="0" w:line="272"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70" w:lineRule="exact"/>
        <w:rPr>
          <w:sz w:val="20"/>
          <w:szCs w:val="20"/>
          <w:color w:val="auto"/>
        </w:rPr>
      </w:pPr>
    </w:p>
    <w:p>
      <w:pPr>
        <w:ind w:right="20" w:firstLine="381"/>
        <w:spacing w:after="0" w:line="284"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59" w:lineRule="exact"/>
        <w:rPr>
          <w:sz w:val="20"/>
          <w:szCs w:val="20"/>
          <w:color w:val="auto"/>
        </w:rPr>
      </w:pPr>
    </w:p>
    <w:p>
      <w:pPr>
        <w:ind w:firstLine="381"/>
        <w:spacing w:after="0" w:line="274"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6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66" w:lineRule="exact"/>
        <w:rPr>
          <w:sz w:val="20"/>
          <w:szCs w:val="20"/>
          <w:color w:val="auto"/>
        </w:rPr>
      </w:pPr>
    </w:p>
    <w:p>
      <w:pPr>
        <w:ind w:right="20" w:firstLine="381"/>
        <w:spacing w:after="0" w:line="269"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40"/>
          </w:cols>
          <w:pgMar w:left="320" w:top="123" w:right="3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auto"/>
        </w:rPr>
        <w:t>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w:t>
      </w:r>
    </w:p>
    <w:p>
      <w:pPr>
        <w:spacing w:after="0" w:line="142" w:lineRule="exact"/>
        <w:rPr>
          <w:sz w:val="20"/>
          <w:szCs w:val="20"/>
          <w:color w:val="auto"/>
        </w:rPr>
      </w:pPr>
    </w:p>
    <w:p>
      <w:pPr>
        <w:ind w:right="100" w:firstLine="381"/>
        <w:spacing w:after="0" w:line="270" w:lineRule="auto"/>
        <w:rPr>
          <w:sz w:val="20"/>
          <w:szCs w:val="20"/>
          <w:color w:val="auto"/>
        </w:rPr>
      </w:pPr>
      <w:r>
        <w:rPr>
          <w:rFonts w:ascii="Arial" w:cs="Arial" w:eastAsia="Arial" w:hAnsi="Arial"/>
          <w:sz w:val="16"/>
          <w:szCs w:val="16"/>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234" w:lineRule="exact"/>
        <w:rPr>
          <w:sz w:val="20"/>
          <w:szCs w:val="20"/>
          <w:color w:val="auto"/>
        </w:rPr>
      </w:pPr>
    </w:p>
    <w:p>
      <w:pPr>
        <w:ind w:right="100" w:firstLine="381"/>
        <w:spacing w:after="0" w:line="252"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86" w:lineRule="exact"/>
        <w:rPr>
          <w:sz w:val="20"/>
          <w:szCs w:val="20"/>
          <w:color w:val="auto"/>
        </w:rPr>
      </w:pPr>
    </w:p>
    <w:p>
      <w:pPr>
        <w:ind w:firstLine="381"/>
        <w:spacing w:after="0" w:line="286" w:lineRule="auto"/>
        <w:rPr>
          <w:sz w:val="20"/>
          <w:szCs w:val="20"/>
          <w:color w:val="auto"/>
        </w:rPr>
      </w:pPr>
      <w:r>
        <w:rPr>
          <w:rFonts w:ascii="Arial" w:cs="Arial" w:eastAsia="Arial" w:hAnsi="Arial"/>
          <w:sz w:val="15"/>
          <w:szCs w:val="15"/>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European Union, or EU. The GDPR imposed more stringent data protection requirements and provides greater penalties for noncompliance than previous data protection laws. Further, following a referendum in June 2016 in which voters in the United Kingdom approved an exit from the EU, ("Brexit"), the United Kingdom government has initiated a process to leave the EU ("Brexit"). The United Kingdom withdrew from the EU pursuant to Brexit on January 31, 2020, subject to a transition period that is set to end on December 31, 2020. Brexit has created uncertainty with regard to the regulation of data protection in the United Kingdom. In particular, although the United Kingdom has enacted a Data Protection Act designed to be consistent with the GDPR, it remains unclear how data transfers to and from the United Kingdom will be regulated. 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invalidated Decision 2016/1250 on the adequacy of the protection provided by the U.S.-EU Privacy Shield Framework. While we rely on additional legal mechanisms to transfer data from the EEA and Switzerland to the United States, there is some regulatory uncertainty surrounding the future of data transfers from these locations to the United States, and we are closely monitoring regulatory developments in this area. The California Consumer Privacy Act of 2018, which affords consumers expanded privacy protections went into effect on January 1, 2020. However, the regulations governing certain aspects of the California Consumer Privacy Act and its enforcement have not yet been finalized. The effects of this legislation remain potentially far-reaching, and depending on final regulatory guidance and other related developments, may require us to modify our data processing practices and policies and to incur substantial costs and expenses in an effort to comply. Similarly, a number of legislative proposals in the European Union, the United States, at both the federal and state level, as well as other jurisdictions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59" w:lineRule="exact"/>
        <w:rPr>
          <w:sz w:val="20"/>
          <w:szCs w:val="20"/>
          <w:color w:val="auto"/>
        </w:rPr>
      </w:pPr>
    </w:p>
    <w:p>
      <w:pPr>
        <w:ind w:right="300" w:firstLine="381"/>
        <w:spacing w:after="0" w:line="257" w:lineRule="auto"/>
        <w:rPr>
          <w:sz w:val="20"/>
          <w:szCs w:val="20"/>
          <w:color w:val="auto"/>
        </w:rPr>
      </w:pPr>
      <w:r>
        <w:rPr>
          <w:rFonts w:ascii="Arial" w:cs="Arial" w:eastAsia="Arial" w:hAnsi="Arial"/>
          <w:sz w:val="17"/>
          <w:szCs w:val="17"/>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40"/>
          </w:cols>
          <w:pgMar w:left="320" w:top="123" w:right="3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68" w:lineRule="exact"/>
        <w:rPr>
          <w:sz w:val="20"/>
          <w:szCs w:val="20"/>
          <w:color w:val="auto"/>
        </w:rPr>
      </w:pPr>
    </w:p>
    <w:p>
      <w:pPr>
        <w:ind w:right="100" w:firstLine="381"/>
        <w:spacing w:after="0" w:line="297" w:lineRule="auto"/>
        <w:rPr>
          <w:sz w:val="20"/>
          <w:szCs w:val="20"/>
          <w:color w:val="auto"/>
        </w:rPr>
      </w:pPr>
      <w:r>
        <w:rPr>
          <w:rFonts w:ascii="Arial" w:cs="Arial" w:eastAsia="Arial" w:hAnsi="Arial"/>
          <w:sz w:val="15"/>
          <w:szCs w:val="15"/>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impacted by changes in internet access for our users or laws specifically governing the internet.</w:t>
      </w:r>
    </w:p>
    <w:p>
      <w:pPr>
        <w:spacing w:after="0" w:line="211" w:lineRule="exact"/>
        <w:rPr>
          <w:sz w:val="20"/>
          <w:szCs w:val="20"/>
          <w:color w:val="auto"/>
        </w:rPr>
      </w:pPr>
    </w:p>
    <w:p>
      <w:pPr>
        <w:ind w:right="20" w:firstLine="381"/>
        <w:spacing w:after="0" w:line="257" w:lineRule="auto"/>
        <w:rPr>
          <w:sz w:val="20"/>
          <w:szCs w:val="20"/>
          <w:color w:val="auto"/>
        </w:rPr>
      </w:pPr>
      <w:r>
        <w:rPr>
          <w:rFonts w:ascii="Arial" w:cs="Arial" w:eastAsia="Arial" w:hAnsi="Arial"/>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78" w:lineRule="exact"/>
        <w:rPr>
          <w:sz w:val="20"/>
          <w:szCs w:val="20"/>
          <w:color w:val="auto"/>
        </w:rPr>
      </w:pPr>
    </w:p>
    <w:p>
      <w:pPr>
        <w:ind w:left="1220" w:hanging="305"/>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11" w:lineRule="exact"/>
        <w:rPr>
          <w:sz w:val="20"/>
          <w:szCs w:val="20"/>
          <w:color w:val="auto"/>
        </w:rPr>
      </w:pPr>
    </w:p>
    <w:p>
      <w:pPr>
        <w:ind w:firstLine="381"/>
        <w:spacing w:after="0" w:line="270"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72" w:lineRule="exact"/>
        <w:rPr>
          <w:sz w:val="20"/>
          <w:szCs w:val="20"/>
          <w:color w:val="auto"/>
        </w:rPr>
      </w:pPr>
    </w:p>
    <w:p>
      <w:pPr>
        <w:ind w:right="220" w:firstLine="381"/>
        <w:spacing w:after="0" w:line="272"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123" w:right="3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66" w:lineRule="exact"/>
        <w:rPr>
          <w:sz w:val="20"/>
          <w:szCs w:val="20"/>
          <w:color w:val="auto"/>
        </w:rPr>
      </w:pPr>
    </w:p>
    <w:p>
      <w:pPr>
        <w:ind w:firstLine="381"/>
        <w:spacing w:after="0" w:line="287" w:lineRule="auto"/>
        <w:rPr>
          <w:sz w:val="20"/>
          <w:szCs w:val="20"/>
          <w:color w:val="auto"/>
        </w:rPr>
      </w:pPr>
      <w:r>
        <w:rPr>
          <w:rFonts w:ascii="Arial" w:cs="Arial" w:eastAsia="Arial" w:hAnsi="Arial"/>
          <w:sz w:val="15"/>
          <w:szCs w:val="15"/>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are currently subject to a number of putative class action lawsuits in state and federal court alleging federal securities law violations in connection with our IPO.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11" w:lineRule="exact"/>
        <w:rPr>
          <w:sz w:val="20"/>
          <w:szCs w:val="20"/>
          <w:color w:val="auto"/>
        </w:rPr>
      </w:pPr>
    </w:p>
    <w:p>
      <w:pPr>
        <w:ind w:firstLine="381"/>
        <w:spacing w:after="0" w:line="287" w:lineRule="auto"/>
        <w:rPr>
          <w:sz w:val="20"/>
          <w:szCs w:val="20"/>
          <w:color w:val="auto"/>
        </w:rPr>
      </w:pPr>
      <w:r>
        <w:rPr>
          <w:rFonts w:ascii="Arial" w:cs="Arial" w:eastAsia="Arial" w:hAnsi="Arial"/>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1,000 issued patents and more than 500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34" w:lineRule="exact"/>
        <w:rPr>
          <w:sz w:val="20"/>
          <w:szCs w:val="20"/>
          <w:color w:val="auto"/>
        </w:rPr>
      </w:pPr>
    </w:p>
    <w:p>
      <w:pPr>
        <w:ind w:right="60" w:firstLine="381"/>
        <w:spacing w:after="0" w:line="269"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123" w:right="3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211" w:lineRule="exact"/>
        <w:rPr>
          <w:sz w:val="20"/>
          <w:szCs w:val="20"/>
          <w:color w:val="auto"/>
        </w:rPr>
      </w:pPr>
    </w:p>
    <w:p>
      <w:pPr>
        <w:ind w:right="20" w:firstLine="381"/>
        <w:spacing w:after="0" w:line="271" w:lineRule="auto"/>
        <w:rPr>
          <w:sz w:val="20"/>
          <w:szCs w:val="20"/>
          <w:color w:val="auto"/>
        </w:rPr>
      </w:pPr>
      <w:r>
        <w:rPr>
          <w:rFonts w:ascii="Arial" w:cs="Arial" w:eastAsia="Arial" w:hAnsi="Arial"/>
          <w:sz w:val="16"/>
          <w:szCs w:val="16"/>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70" w:lineRule="exact"/>
        <w:rPr>
          <w:sz w:val="20"/>
          <w:szCs w:val="20"/>
          <w:color w:val="auto"/>
        </w:rPr>
      </w:pPr>
    </w:p>
    <w:p>
      <w:pPr>
        <w:jc w:val="both"/>
        <w:ind w:right="140" w:firstLine="381"/>
        <w:spacing w:after="0" w:line="341" w:lineRule="auto"/>
        <w:rPr>
          <w:sz w:val="20"/>
          <w:szCs w:val="20"/>
          <w:color w:val="auto"/>
        </w:rPr>
      </w:pPr>
      <w:r>
        <w:rPr>
          <w:rFonts w:ascii="Arial" w:cs="Arial" w:eastAsia="Arial" w:hAnsi="Arial"/>
          <w:sz w:val="15"/>
          <w:szCs w:val="15"/>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19" w:lineRule="exact"/>
        <w:rPr>
          <w:sz w:val="20"/>
          <w:szCs w:val="20"/>
          <w:color w:val="auto"/>
        </w:rPr>
      </w:pPr>
    </w:p>
    <w:p>
      <w:pPr>
        <w:ind w:left="1220" w:hanging="305"/>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us to issue refunds to our users or expose us to claims for damages;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cause us to lose existing users and make it more difficult to attract new users;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11" w:lineRule="exact"/>
        <w:rPr>
          <w:sz w:val="20"/>
          <w:szCs w:val="20"/>
          <w:color w:val="auto"/>
        </w:rPr>
      </w:pPr>
    </w:p>
    <w:p>
      <w:pPr>
        <w:ind w:right="600"/>
        <w:spacing w:after="0" w:line="272"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66" w:lineRule="exact"/>
        <w:rPr>
          <w:sz w:val="20"/>
          <w:szCs w:val="20"/>
          <w:color w:val="auto"/>
        </w:rPr>
      </w:pPr>
    </w:p>
    <w:p>
      <w:pPr>
        <w:ind w:right="100" w:firstLine="381"/>
        <w:spacing w:after="0" w:line="255" w:lineRule="auto"/>
        <w:rPr>
          <w:sz w:val="20"/>
          <w:szCs w:val="20"/>
          <w:color w:val="auto"/>
        </w:rPr>
      </w:pPr>
      <w:r>
        <w:rPr>
          <w:rFonts w:ascii="Arial" w:cs="Arial" w:eastAsia="Arial" w:hAnsi="Arial"/>
          <w:sz w:val="17"/>
          <w:szCs w:val="17"/>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2019 we acquired HelloSign, an e-signature and document workflow platform, to expand our content collaboration capabilities to include additional business critical workflows. The pursuit of acquisitions may divert the attention of management and cause us to incur various expenses in identifying, investigating, and pursuing suitable acquisitions, whether or not they are consummated.</w:t>
      </w:r>
    </w:p>
    <w:p>
      <w:pPr>
        <w:spacing w:after="0" w:line="180" w:lineRule="exact"/>
        <w:rPr>
          <w:sz w:val="20"/>
          <w:szCs w:val="20"/>
          <w:color w:val="auto"/>
        </w:rPr>
      </w:pPr>
    </w:p>
    <w:p>
      <w:pPr>
        <w:ind w:firstLine="381"/>
        <w:spacing w:after="0" w:line="261" w:lineRule="auto"/>
        <w:rPr>
          <w:sz w:val="20"/>
          <w:szCs w:val="20"/>
          <w:color w:val="auto"/>
        </w:rPr>
      </w:pPr>
      <w:r>
        <w:rPr>
          <w:rFonts w:ascii="Arial" w:cs="Arial" w:eastAsia="Arial" w:hAnsi="Arial"/>
          <w:sz w:val="17"/>
          <w:szCs w:val="17"/>
          <w:color w:val="auto"/>
        </w:rPr>
        <w:t>We have limited experience making acquisitions. We may not be able to find suitable acquisition candidates and we may not be able to complete acquisitions on favorable terms, if at all. If we do complete acquisitions, we may not ultimately strengthen our competitive position or achieve the anticipated benefits from such acquisitions, due to a number of factors, including:</w:t>
      </w:r>
    </w:p>
    <w:p>
      <w:pPr>
        <w:spacing w:after="0" w:line="175" w:lineRule="exact"/>
        <w:rPr>
          <w:sz w:val="20"/>
          <w:szCs w:val="20"/>
          <w:color w:val="auto"/>
        </w:rPr>
      </w:pPr>
    </w:p>
    <w:p>
      <w:pPr>
        <w:ind w:left="1220" w:hanging="305"/>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acquisition-related costs, liabilities, or tax impacts, some of which may be unanticipated;</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22" w:lineRule="exact"/>
        <w:rPr>
          <w:rFonts w:ascii="Arial" w:cs="Arial" w:eastAsia="Arial" w:hAnsi="Arial"/>
          <w:sz w:val="16"/>
          <w:szCs w:val="16"/>
          <w:color w:val="auto"/>
        </w:rPr>
      </w:pPr>
    </w:p>
    <w:p>
      <w:pPr>
        <w:ind w:left="1220" w:hanging="305"/>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ineffective or inadequate, controls, procedures, or policies at an acquired business;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multiple product lines or services offerings, as a result of our acquisitions, that are offered, priced, and supported differently;</w:t>
      </w:r>
    </w:p>
    <w:p>
      <w:pPr>
        <w:spacing w:after="0" w:line="210" w:lineRule="exact"/>
        <w:rPr>
          <w:rFonts w:ascii="Arial" w:cs="Arial" w:eastAsia="Arial" w:hAnsi="Arial"/>
          <w:sz w:val="17"/>
          <w:szCs w:val="17"/>
          <w:color w:val="auto"/>
        </w:rPr>
      </w:pPr>
    </w:p>
    <w:p>
      <w:pPr>
        <w:ind w:left="1220" w:hanging="305"/>
        <w:spacing w:after="0" w:line="272" w:lineRule="auto"/>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unknown liabilities or risks associated with an acquired business, including those arising from existing contractual obligations or litigation matters;</w:t>
      </w:r>
    </w:p>
    <w:p>
      <w:pPr>
        <w:spacing w:after="0" w:line="166" w:lineRule="exact"/>
        <w:rPr>
          <w:rFonts w:ascii="Arial" w:cs="Arial" w:eastAsia="Arial" w:hAnsi="Arial"/>
          <w:sz w:val="17"/>
          <w:szCs w:val="17"/>
          <w:color w:val="auto"/>
        </w:rPr>
      </w:pPr>
    </w:p>
    <w:p>
      <w:pPr>
        <w:ind w:left="1220" w:hanging="305"/>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suppliers, and partners of an acquired business;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20"/>
          </w:cols>
          <w:pgMar w:left="320" w:top="123" w:right="3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220" w:hanging="305"/>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lack of experience in new markets, products or technologies;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 and</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211" w:lineRule="exact"/>
        <w:rPr>
          <w:sz w:val="20"/>
          <w:szCs w:val="20"/>
          <w:color w:val="auto"/>
        </w:rPr>
      </w:pPr>
    </w:p>
    <w:p>
      <w:pPr>
        <w:jc w:val="both"/>
        <w:ind w:right="180" w:firstLine="305"/>
        <w:spacing w:after="0" w:line="261"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75" w:lineRule="exact"/>
        <w:rPr>
          <w:sz w:val="20"/>
          <w:szCs w:val="20"/>
          <w:color w:val="auto"/>
        </w:rPr>
      </w:pPr>
    </w:p>
    <w:p>
      <w:pPr>
        <w:ind w:right="400" w:firstLine="381"/>
        <w:spacing w:after="0" w:line="302" w:lineRule="auto"/>
        <w:rPr>
          <w:sz w:val="20"/>
          <w:szCs w:val="20"/>
          <w:color w:val="auto"/>
        </w:rPr>
      </w:pPr>
      <w:r>
        <w:rPr>
          <w:rFonts w:ascii="Arial" w:cs="Arial" w:eastAsia="Arial" w:hAnsi="Arial"/>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47" w:lineRule="exact"/>
        <w:rPr>
          <w:sz w:val="20"/>
          <w:szCs w:val="20"/>
          <w:color w:val="auto"/>
        </w:rPr>
      </w:pPr>
    </w:p>
    <w:p>
      <w:pPr>
        <w:jc w:val="both"/>
        <w:ind w:right="200" w:firstLine="381"/>
        <w:spacing w:after="0" w:line="261" w:lineRule="auto"/>
        <w:rPr>
          <w:sz w:val="20"/>
          <w:szCs w:val="20"/>
          <w:color w:val="auto"/>
        </w:rPr>
      </w:pPr>
      <w:r>
        <w:rPr>
          <w:rFonts w:ascii="Arial" w:cs="Arial" w:eastAsia="Arial" w:hAnsi="Arial"/>
          <w:sz w:val="17"/>
          <w:szCs w:val="17"/>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75" w:lineRule="exact"/>
        <w:rPr>
          <w:sz w:val="20"/>
          <w:szCs w:val="20"/>
          <w:color w:val="auto"/>
        </w:rPr>
      </w:pPr>
    </w:p>
    <w:p>
      <w:pPr>
        <w:ind w:right="20" w:firstLine="381"/>
        <w:spacing w:after="0" w:line="257" w:lineRule="auto"/>
        <w:rPr>
          <w:sz w:val="20"/>
          <w:szCs w:val="20"/>
          <w:color w:val="auto"/>
        </w:rPr>
      </w:pPr>
      <w:r>
        <w:rPr>
          <w:rFonts w:ascii="Arial" w:cs="Arial" w:eastAsia="Arial" w:hAnsi="Arial"/>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222" w:lineRule="exact"/>
        <w:rPr>
          <w:sz w:val="20"/>
          <w:szCs w:val="20"/>
          <w:color w:val="auto"/>
        </w:rPr>
      </w:pPr>
    </w:p>
    <w:p>
      <w:pPr>
        <w:ind w:firstLine="381"/>
        <w:spacing w:after="0" w:line="253" w:lineRule="auto"/>
        <w:rPr>
          <w:sz w:val="20"/>
          <w:szCs w:val="20"/>
          <w:color w:val="auto"/>
        </w:rPr>
      </w:pPr>
      <w:r>
        <w:rPr>
          <w:rFonts w:ascii="Arial" w:cs="Arial" w:eastAsia="Arial" w:hAnsi="Arial"/>
          <w:sz w:val="17"/>
          <w:szCs w:val="17"/>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For example, the ongoing COVID-19 pandemic and efforts to control such pandemic have resulted in economic uncertainty worldwide and may cause an economic recession in the United States and elsewhere, which could cause current and prospective paying users to delay, decrease, or cancel purchases of our products and services, or delay or default on their payment obligations. As a result, our business, results of operations, and financial condition may be significantly affected by changes in the economy generally.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211" w:lineRule="exact"/>
        <w:rPr>
          <w:sz w:val="20"/>
          <w:szCs w:val="20"/>
          <w:color w:val="auto"/>
        </w:rPr>
      </w:pPr>
    </w:p>
    <w:p>
      <w:pPr>
        <w:ind w:right="20" w:firstLine="381"/>
        <w:spacing w:after="0" w:line="297" w:lineRule="auto"/>
        <w:rPr>
          <w:sz w:val="20"/>
          <w:szCs w:val="20"/>
          <w:color w:val="auto"/>
        </w:rPr>
      </w:pPr>
      <w:r>
        <w:rPr>
          <w:rFonts w:ascii="Arial" w:cs="Arial" w:eastAsia="Arial" w:hAnsi="Arial"/>
          <w:sz w:val="15"/>
          <w:szCs w:val="15"/>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Further, outbreaks of pandemic diseases, such as COVID-19,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151" w:lineRule="exact"/>
        <w:rPr>
          <w:sz w:val="20"/>
          <w:szCs w:val="20"/>
          <w:color w:val="auto"/>
        </w:rPr>
      </w:pPr>
    </w:p>
    <w:p>
      <w:pPr>
        <w:ind w:right="120" w:firstLine="381"/>
        <w:spacing w:after="0" w:line="294" w:lineRule="auto"/>
        <w:rPr>
          <w:sz w:val="20"/>
          <w:szCs w:val="20"/>
          <w:color w:val="auto"/>
        </w:rPr>
      </w:pPr>
      <w:r>
        <w:rPr>
          <w:rFonts w:ascii="Arial" w:cs="Arial" w:eastAsia="Arial" w:hAnsi="Arial"/>
          <w:sz w:val="15"/>
          <w:szCs w:val="15"/>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20"/>
          </w:cols>
          <w:pgMar w:left="320" w:top="123" w:right="3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adversely impact our results of operations.</w:t>
      </w:r>
    </w:p>
    <w:p>
      <w:pPr>
        <w:spacing w:after="0" w:line="211" w:lineRule="exact"/>
        <w:rPr>
          <w:sz w:val="20"/>
          <w:szCs w:val="20"/>
          <w:color w:val="auto"/>
        </w:rPr>
      </w:pPr>
    </w:p>
    <w:p>
      <w:pPr>
        <w:ind w:right="20" w:firstLine="381"/>
        <w:spacing w:after="0" w:line="302"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47" w:lineRule="exact"/>
        <w:rPr>
          <w:sz w:val="20"/>
          <w:szCs w:val="20"/>
          <w:color w:val="auto"/>
        </w:rPr>
      </w:pPr>
    </w:p>
    <w:p>
      <w:pPr>
        <w:ind w:right="20" w:firstLine="381"/>
        <w:spacing w:after="0" w:line="255" w:lineRule="auto"/>
        <w:rPr>
          <w:sz w:val="20"/>
          <w:szCs w:val="20"/>
          <w:color w:val="auto"/>
        </w:rPr>
      </w:pPr>
      <w:r>
        <w:rPr>
          <w:rFonts w:ascii="Arial" w:cs="Arial" w:eastAsia="Arial" w:hAnsi="Arial"/>
          <w:sz w:val="17"/>
          <w:szCs w:val="17"/>
          <w:color w:val="auto"/>
        </w:rPr>
        <w:t>Our tax provision could also be impacted by changes in accounting principles, changes in U.S. federal, state, or international tax laws applicable to corporate multinationals such as the recent legislation enacted in the United States, other fundamental law changes currently being considered by many countries, and changes in taxing jurisdictions’ administrative interpretations, decisions, policies, and positions. Additionally, the Organization for Economic Co-Operation and Development has released guidance covering various topics, including digital economy, transfer pricing, country-by-country reporting, and definitional changes to permanent establishment that could ultimately impact our tax liabilities.</w:t>
      </w:r>
    </w:p>
    <w:p>
      <w:pPr>
        <w:spacing w:after="0" w:line="180" w:lineRule="exact"/>
        <w:rPr>
          <w:sz w:val="20"/>
          <w:szCs w:val="20"/>
          <w:color w:val="auto"/>
        </w:rPr>
      </w:pPr>
    </w:p>
    <w:p>
      <w:pPr>
        <w:ind w:right="60" w:firstLine="381"/>
        <w:spacing w:after="0" w:line="254"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11" w:lineRule="exact"/>
        <w:rPr>
          <w:sz w:val="20"/>
          <w:szCs w:val="20"/>
          <w:color w:val="auto"/>
        </w:rPr>
      </w:pPr>
    </w:p>
    <w:p>
      <w:pPr>
        <w:ind w:firstLine="381"/>
        <w:spacing w:after="0" w:line="284" w:lineRule="auto"/>
        <w:rPr>
          <w:sz w:val="20"/>
          <w:szCs w:val="20"/>
          <w:color w:val="auto"/>
        </w:rPr>
      </w:pPr>
      <w:r>
        <w:rPr>
          <w:rFonts w:ascii="Arial" w:cs="Arial" w:eastAsia="Arial" w:hAnsi="Arial"/>
          <w:sz w:val="15"/>
          <w:szCs w:val="15"/>
          <w:color w:val="auto"/>
        </w:rPr>
        <w:t>As of December 31, 2019, we had $916.9 million of federal and $390.8 million of state net operating loss carryforwards available to reduce future taxable income. Of our federal net operating loss carryforwards, $288.9 million will begin to expire in 2032 and $628.0 million will carryforward indefinitely, while state net operating losses begin to expire in 2026. As of December 31, 2019, we also had $221.4 million of foreign net operating loss carryforwards available to reduce future taxable income, which will carryforward indefinitely. In addition, we had $22.9 million of foreign acquired net operating losses, which will carryforward indefinitely. We also had $0.7 million of foreign tax credit carryforwards,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w:t>
      </w:r>
    </w:p>
    <w:p>
      <w:pPr>
        <w:spacing w:after="0" w:line="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388"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66" w:lineRule="exact"/>
        <w:rPr>
          <w:sz w:val="20"/>
          <w:szCs w:val="20"/>
          <w:color w:val="auto"/>
        </w:rPr>
      </w:pPr>
    </w:p>
    <w:p>
      <w:pPr>
        <w:jc w:val="both"/>
        <w:ind w:right="160" w:firstLine="381"/>
        <w:spacing w:after="0" w:line="255"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80" w:lineRule="exact"/>
        <w:rPr>
          <w:sz w:val="20"/>
          <w:szCs w:val="20"/>
          <w:color w:val="auto"/>
        </w:rPr>
      </w:pPr>
    </w:p>
    <w:p>
      <w:pPr>
        <w:ind w:right="500"/>
        <w:spacing w:after="0" w:line="272" w:lineRule="auto"/>
        <w:rPr>
          <w:sz w:val="20"/>
          <w:szCs w:val="20"/>
          <w:color w:val="auto"/>
        </w:rPr>
      </w:pPr>
      <w:r>
        <w:rPr>
          <w:rFonts w:ascii="Arial" w:cs="Arial" w:eastAsia="Arial" w:hAnsi="Arial"/>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66" w:lineRule="exact"/>
        <w:rPr>
          <w:sz w:val="20"/>
          <w:szCs w:val="20"/>
          <w:color w:val="auto"/>
        </w:rPr>
      </w:pPr>
    </w:p>
    <w:p>
      <w:pPr>
        <w:ind w:right="20" w:firstLine="381"/>
        <w:spacing w:after="0" w:line="261" w:lineRule="auto"/>
        <w:rPr>
          <w:sz w:val="20"/>
          <w:szCs w:val="20"/>
          <w:color w:val="auto"/>
        </w:rPr>
      </w:pPr>
      <w:r>
        <w:rPr>
          <w:rFonts w:ascii="Arial" w:cs="Arial" w:eastAsia="Arial" w:hAnsi="Arial"/>
          <w:sz w:val="17"/>
          <w:szCs w:val="17"/>
          <w:color w:val="auto"/>
        </w:rPr>
        <w:t>On December 22, 2017, the legislation commonly referred to as the 2017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20"/>
          </w:cols>
          <w:pgMar w:left="320" w:top="123" w:right="3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the future tax benefits of our deferred tax assets as a result of the reduction in the corporate tax rate. However, since we have recorded a full valuation allowance against our deferred tax assets, these changes to U.S. tax law do not have a material impact on our provision for income taxes in our consolidated financial statements.</w:t>
      </w:r>
    </w:p>
    <w:p>
      <w:pPr>
        <w:spacing w:after="0" w:line="378" w:lineRule="exact"/>
        <w:rPr>
          <w:sz w:val="20"/>
          <w:szCs w:val="20"/>
          <w:color w:val="auto"/>
        </w:rPr>
      </w:pPr>
    </w:p>
    <w:p>
      <w:pPr>
        <w:ind w:firstLine="381"/>
        <w:spacing w:after="0" w:line="294" w:lineRule="auto"/>
        <w:rPr>
          <w:sz w:val="20"/>
          <w:szCs w:val="20"/>
          <w:color w:val="auto"/>
        </w:rPr>
      </w:pPr>
      <w:r>
        <w:rPr>
          <w:rFonts w:ascii="Arial" w:cs="Arial" w:eastAsia="Arial" w:hAnsi="Arial"/>
          <w:sz w:val="15"/>
          <w:szCs w:val="15"/>
          <w:color w:val="auto"/>
        </w:rPr>
        <w:t>On March 11, 2020, the World Health Organization declared COVID-19 a global pandemic and recommended containment and mitigation measures worldwide. The 2020 CARES Act was enacted in the United States on March 27, 2020, and contains several income tax provisions, including, but not limited to, changes to the rules governing net operating losses and technical corrections to certain provisions in the 2017 Tax Reform Act. However, since we have recorded a full valuation allowance against our deferred tax assets, these changes to U.S. tax law do not have a material impact on our provision for income taxes in our consolidated financial statements. In addition, although many countries in which we operate have also issued some form of COVID-19 related income tax guidance, such guidance does not have a material impact on our provision for income taxes in our consolidated financial statements as of June 30, 2020.</w:t>
      </w:r>
    </w:p>
    <w:p>
      <w:pPr>
        <w:spacing w:after="0" w:line="154" w:lineRule="exact"/>
        <w:rPr>
          <w:sz w:val="20"/>
          <w:szCs w:val="20"/>
          <w:color w:val="auto"/>
        </w:rPr>
      </w:pPr>
    </w:p>
    <w:p>
      <w:pPr>
        <w:jc w:val="both"/>
        <w:ind w:right="80" w:firstLine="381"/>
        <w:spacing w:after="0" w:line="284" w:lineRule="auto"/>
        <w:rPr>
          <w:sz w:val="20"/>
          <w:szCs w:val="20"/>
          <w:color w:val="auto"/>
        </w:rPr>
      </w:pPr>
      <w:r>
        <w:rPr>
          <w:rFonts w:ascii="Arial" w:cs="Arial" w:eastAsia="Arial" w:hAnsi="Arial"/>
          <w:sz w:val="16"/>
          <w:szCs w:val="16"/>
          <w:color w:val="auto"/>
        </w:rPr>
        <w:t>On June 29, 2020, California Governor Newsom signed Assembly Bill No. 85 as part of the California 2020 Budget Act which temporarily suspends the use of California net operating losses and imposes a cap on the amount of business incentive tax credits companies can utilize against their net income. This guidance does not have a material impact on our provision for income taxes in our consolidated financial statements as of June 30, 2020.</w:t>
      </w:r>
    </w:p>
    <w:p>
      <w:pPr>
        <w:spacing w:after="0" w:line="159" w:lineRule="exact"/>
        <w:rPr>
          <w:sz w:val="20"/>
          <w:szCs w:val="20"/>
          <w:color w:val="auto"/>
        </w:rPr>
      </w:pPr>
    </w:p>
    <w:p>
      <w:pPr>
        <w:ind w:right="120" w:firstLine="381"/>
        <w:spacing w:after="0" w:line="272" w:lineRule="auto"/>
        <w:rPr>
          <w:sz w:val="20"/>
          <w:szCs w:val="20"/>
          <w:color w:val="auto"/>
        </w:rPr>
      </w:pPr>
      <w:r>
        <w:rPr>
          <w:rFonts w:ascii="Arial" w:cs="Arial" w:eastAsia="Arial" w:hAnsi="Arial"/>
          <w:sz w:val="16"/>
          <w:szCs w:val="16"/>
          <w:color w:val="auto"/>
        </w:rPr>
        <w:t>On June 7, 2019, a judicial panel of the Ninth Circuit Court of Appeals issued an opinion in Altera Corp. v. Commissioner that would require related parties in an intercompany cost-sharing arrangement to share expenses related to stock-based compensation. On July 22, 2019, the taxpayer requested an en banc rehearing before the full Ninth Circuit Court of Appeals and the request was denied on November 12, 2019. On February 10, 2020, the taxpayer filed a petition for writ of certiorari to the U.S. Supreme Court, which was denied on June 22, 2020. Accordingly, we have included stock-based compensation in our cost-sharing agreements and as a result, we recognized additional state tax expenses in some jurisdictions which do not have sufficient net operating losses to offset the state income. There was no material impact on our income tax provision for the U.S. and Ireland due to our full valuation allowance.</w:t>
      </w:r>
    </w:p>
    <w:p>
      <w:pPr>
        <w:spacing w:after="0" w:line="170" w:lineRule="exact"/>
        <w:rPr>
          <w:sz w:val="20"/>
          <w:szCs w:val="20"/>
          <w:color w:val="auto"/>
        </w:rPr>
      </w:pPr>
    </w:p>
    <w:p>
      <w:pPr>
        <w:ind w:right="20" w:firstLine="368"/>
        <w:spacing w:after="0" w:line="269" w:lineRule="auto"/>
        <w:rPr>
          <w:sz w:val="20"/>
          <w:szCs w:val="20"/>
          <w:color w:val="auto"/>
        </w:rPr>
      </w:pPr>
      <w:r>
        <w:rPr>
          <w:rFonts w:ascii="Arial" w:cs="Arial" w:eastAsia="Arial" w:hAnsi="Arial"/>
          <w:sz w:val="16"/>
          <w:szCs w:val="16"/>
          <w:color w:val="auto"/>
        </w:rPr>
        <w:t>In March 2018, the European Commission introduced proposals addressing taxation of digital businesses operating within the European Union. Any proposal requires unanimity in the Economic and Financial Affairs Council (the “Council”) for its adoption, following the consultation of the European Parliament. However, by March 2019, the Council could not reach an agreement on a sales tax with a scope limited to digital advertising services. As a result, certain countries, including the United Kingdom and France, have unilaterally moved to introduce their own digital service tax to capture tax revenue on digital services more immediately, which is generally a percentage of gross revenue on taxable activities. The EU Presidency continues to work on the EU position in international discussions on digital tax, in view of the Organization for Economic Co-operation and Development’s report on the issue. As a result of the above measures and the increasing focus by government taxing authorities on multinational companies, the tax laws of certain countries in which we do business could change on a prospective or retroactive basis, and any such changes could increase our liabilities for taxes, interest and penalties, lead to higher effective tax rates, and harm our cash flows, results of operations and financial condition.</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6" w:lineRule="exact"/>
        <w:rPr>
          <w:sz w:val="20"/>
          <w:szCs w:val="20"/>
          <w:color w:val="auto"/>
        </w:rPr>
      </w:pPr>
    </w:p>
    <w:p>
      <w:pPr>
        <w:ind w:right="20" w:firstLine="381"/>
        <w:spacing w:after="0" w:line="257"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8" w:lineRule="exact"/>
        <w:rPr>
          <w:sz w:val="20"/>
          <w:szCs w:val="20"/>
          <w:color w:val="auto"/>
        </w:rPr>
      </w:pPr>
    </w:p>
    <w:p>
      <w:pPr>
        <w:ind w:firstLine="381"/>
        <w:spacing w:after="0" w:line="290" w:lineRule="auto"/>
        <w:rPr>
          <w:sz w:val="20"/>
          <w:szCs w:val="20"/>
          <w:color w:val="auto"/>
        </w:rPr>
      </w:pPr>
      <w:r>
        <w:rPr>
          <w:rFonts w:ascii="Arial" w:cs="Arial" w:eastAsia="Arial" w:hAnsi="Arial"/>
          <w:sz w:val="15"/>
          <w:szCs w:val="15"/>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123" w:right="3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180" w:lineRule="exact"/>
        <w:rPr>
          <w:sz w:val="20"/>
          <w:szCs w:val="20"/>
          <w:color w:val="auto"/>
        </w:rPr>
      </w:pPr>
    </w:p>
    <w:p>
      <w:pPr>
        <w:ind w:right="40" w:firstLine="381"/>
        <w:spacing w:after="0" w:line="269"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11" w:lineRule="exact"/>
        <w:rPr>
          <w:sz w:val="20"/>
          <w:szCs w:val="20"/>
          <w:color w:val="auto"/>
        </w:rPr>
      </w:pPr>
    </w:p>
    <w:p>
      <w:pPr>
        <w:jc w:val="both"/>
        <w:ind w:right="20" w:firstLine="381"/>
        <w:spacing w:after="0" w:line="302" w:lineRule="auto"/>
        <w:rPr>
          <w:sz w:val="20"/>
          <w:szCs w:val="20"/>
          <w:color w:val="auto"/>
        </w:rPr>
      </w:pPr>
      <w:r>
        <w:rPr>
          <w:rFonts w:ascii="Arial" w:cs="Arial" w:eastAsia="Arial" w:hAnsi="Arial"/>
          <w:sz w:val="15"/>
          <w:szCs w:val="15"/>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147" w:lineRule="exact"/>
        <w:rPr>
          <w:sz w:val="20"/>
          <w:szCs w:val="20"/>
          <w:color w:val="auto"/>
        </w:rPr>
      </w:pPr>
    </w:p>
    <w:p>
      <w:pPr>
        <w:ind w:right="60"/>
        <w:spacing w:after="0" w:line="341"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19" w:lineRule="exact"/>
        <w:rPr>
          <w:sz w:val="20"/>
          <w:szCs w:val="20"/>
          <w:color w:val="auto"/>
        </w:rPr>
      </w:pPr>
    </w:p>
    <w:p>
      <w:pPr>
        <w:ind w:right="60" w:firstLine="381"/>
        <w:spacing w:after="0" w:line="269"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75" w:lineRule="exact"/>
        <w:rPr>
          <w:sz w:val="20"/>
          <w:szCs w:val="20"/>
          <w:color w:val="auto"/>
        </w:rPr>
      </w:pPr>
    </w:p>
    <w:p>
      <w:pPr>
        <w:spacing w:after="0" w:line="382" w:lineRule="auto"/>
        <w:rPr>
          <w:sz w:val="20"/>
          <w:szCs w:val="20"/>
          <w:color w:val="auto"/>
        </w:rPr>
      </w:pPr>
      <w:r>
        <w:rPr>
          <w:rFonts w:ascii="Arial" w:cs="Arial" w:eastAsia="Arial" w:hAnsi="Arial"/>
          <w:sz w:val="14"/>
          <w:szCs w:val="14"/>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97" w:lineRule="exact"/>
        <w:rPr>
          <w:sz w:val="20"/>
          <w:szCs w:val="20"/>
          <w:color w:val="auto"/>
        </w:rPr>
      </w:pPr>
    </w:p>
    <w:p>
      <w:pPr>
        <w:ind w:right="20" w:firstLine="381"/>
        <w:spacing w:after="0" w:line="272" w:lineRule="auto"/>
        <w:rPr>
          <w:sz w:val="20"/>
          <w:szCs w:val="20"/>
          <w:color w:val="auto"/>
        </w:rPr>
      </w:pPr>
      <w:r>
        <w:rPr>
          <w:rFonts w:ascii="Arial" w:cs="Arial" w:eastAsia="Arial" w:hAnsi="Arial"/>
          <w:sz w:val="16"/>
          <w:szCs w:val="16"/>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123" w:right="3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more difficult for us to successfully execute our business strategy and compete against companies who are not subject to such restrictions.</w:t>
      </w:r>
    </w:p>
    <w:p>
      <w:pPr>
        <w:spacing w:after="0" w:line="211" w:lineRule="exact"/>
        <w:rPr>
          <w:sz w:val="20"/>
          <w:szCs w:val="20"/>
          <w:color w:val="auto"/>
        </w:rPr>
      </w:pPr>
    </w:p>
    <w:p>
      <w:pPr>
        <w:ind w:right="20" w:firstLine="381"/>
        <w:spacing w:after="0" w:line="271"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7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66" w:lineRule="exact"/>
        <w:rPr>
          <w:sz w:val="20"/>
          <w:szCs w:val="20"/>
          <w:color w:val="auto"/>
        </w:rPr>
      </w:pPr>
    </w:p>
    <w:p>
      <w:pPr>
        <w:jc w:val="both"/>
        <w:ind w:right="220" w:firstLine="381"/>
        <w:spacing w:after="0" w:line="302" w:lineRule="auto"/>
        <w:rPr>
          <w:sz w:val="20"/>
          <w:szCs w:val="20"/>
          <w:color w:val="auto"/>
        </w:rPr>
      </w:pPr>
      <w:r>
        <w:rPr>
          <w:rFonts w:ascii="Arial" w:cs="Arial" w:eastAsia="Arial" w:hAnsi="Arial"/>
          <w:sz w:val="15"/>
          <w:szCs w:val="15"/>
          <w:color w:val="auto"/>
        </w:rPr>
        <w:t>We finance a significant portion of our expenditures through leasing arrangements and we may enter into additional similar arrangements in the future. As of December 31, 2019, we had an aggregate of $1,457.9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47" w:lineRule="exact"/>
        <w:rPr>
          <w:sz w:val="20"/>
          <w:szCs w:val="20"/>
          <w:color w:val="auto"/>
        </w:rPr>
      </w:pPr>
    </w:p>
    <w:p>
      <w:pPr>
        <w:ind w:left="1220" w:hanging="305"/>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repayment of any outstanding lease obligations;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terminate our leasing arrangements;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terminate our access to the leased datacenters we utilize;</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stop delivery of ordered equipment;</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sell or require us to return our leased equipment;</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repayment of any outstanding amounts drawn on our revolving credit facility;</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terminate our revolving credit facility; or</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us to pay significant fees, penalties, or damages.</w:t>
      </w:r>
    </w:p>
    <w:p>
      <w:pPr>
        <w:spacing w:after="0" w:line="211" w:lineRule="exact"/>
        <w:rPr>
          <w:sz w:val="20"/>
          <w:szCs w:val="20"/>
          <w:color w:val="auto"/>
        </w:rPr>
      </w:pPr>
    </w:p>
    <w:p>
      <w:pPr>
        <w:ind w:right="340" w:firstLine="381"/>
        <w:spacing w:after="0" w:line="272" w:lineRule="auto"/>
        <w:rPr>
          <w:sz w:val="20"/>
          <w:szCs w:val="20"/>
          <w:color w:val="auto"/>
        </w:rPr>
      </w:pPr>
      <w:r>
        <w:rPr>
          <w:rFonts w:ascii="Arial" w:cs="Arial" w:eastAsia="Arial" w:hAnsi="Arial"/>
          <w:sz w:val="17"/>
          <w:szCs w:val="17"/>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211" w:lineRule="exact"/>
        <w:rPr>
          <w:sz w:val="20"/>
          <w:szCs w:val="20"/>
          <w:color w:val="auto"/>
        </w:rPr>
      </w:pPr>
    </w:p>
    <w:p>
      <w:pPr>
        <w:ind w:firstLine="381"/>
        <w:spacing w:after="0" w:line="292"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20"/>
          </w:cols>
          <w:pgMar w:left="320" w:top="123" w:right="3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140" w:firstLine="381"/>
        <w:spacing w:after="0" w:line="272"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66" w:lineRule="exact"/>
        <w:rPr>
          <w:sz w:val="20"/>
          <w:szCs w:val="20"/>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233" w:lineRule="exact"/>
        <w:rPr>
          <w:rFonts w:ascii="Arial" w:cs="Arial" w:eastAsia="Arial" w:hAnsi="Arial"/>
          <w:sz w:val="15"/>
          <w:szCs w:val="15"/>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210" w:lineRule="exact"/>
        <w:rPr>
          <w:rFonts w:ascii="Arial" w:cs="Arial" w:eastAsia="Arial" w:hAnsi="Arial"/>
          <w:sz w:val="17"/>
          <w:szCs w:val="17"/>
          <w:color w:val="auto"/>
        </w:rPr>
      </w:pPr>
    </w:p>
    <w:p>
      <w:pPr>
        <w:ind w:left="1220" w:right="400" w:hanging="305"/>
        <w:spacing w:after="0" w:line="272" w:lineRule="auto"/>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66"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significant change in our management;</w:t>
      </w:r>
    </w:p>
    <w:p>
      <w:pPr>
        <w:spacing w:after="0" w:line="210" w:lineRule="exact"/>
        <w:rPr>
          <w:rFonts w:ascii="Arial" w:cs="Arial" w:eastAsia="Arial" w:hAnsi="Arial"/>
          <w:sz w:val="17"/>
          <w:szCs w:val="17"/>
          <w:color w:val="auto"/>
        </w:rPr>
      </w:pPr>
    </w:p>
    <w:p>
      <w:pPr>
        <w:ind w:left="1220" w:hanging="305"/>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 and</w:t>
      </w:r>
    </w:p>
    <w:p>
      <w:pPr>
        <w:spacing w:after="0" w:line="210" w:lineRule="exact"/>
        <w:rPr>
          <w:rFonts w:ascii="Arial" w:cs="Arial" w:eastAsia="Arial" w:hAnsi="Arial"/>
          <w:sz w:val="17"/>
          <w:szCs w:val="17"/>
          <w:color w:val="auto"/>
        </w:rPr>
      </w:pPr>
    </w:p>
    <w:p>
      <w:pPr>
        <w:ind w:left="1220" w:right="160" w:hanging="305"/>
        <w:spacing w:after="0" w:line="305" w:lineRule="auto"/>
        <w:tabs>
          <w:tab w:leader="none" w:pos="1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the ongoing COVID-19 pandemic.</w:t>
      </w:r>
    </w:p>
    <w:p>
      <w:pPr>
        <w:spacing w:after="0" w:line="142" w:lineRule="exact"/>
        <w:rPr>
          <w:sz w:val="20"/>
          <w:szCs w:val="20"/>
          <w:color w:val="auto"/>
        </w:rPr>
      </w:pPr>
    </w:p>
    <w:p>
      <w:pPr>
        <w:ind w:firstLine="381"/>
        <w:spacing w:after="0" w:line="278" w:lineRule="auto"/>
        <w:rPr>
          <w:sz w:val="20"/>
          <w:szCs w:val="20"/>
          <w:color w:val="auto"/>
        </w:rPr>
      </w:pPr>
      <w:r>
        <w:rPr>
          <w:rFonts w:ascii="Arial" w:cs="Arial" w:eastAsia="Arial" w:hAnsi="Arial"/>
          <w:sz w:val="16"/>
          <w:szCs w:val="16"/>
          <w:color w:val="auto"/>
        </w:rPr>
        <w:t>In addition, in the past, following periods of volatility in the overall market and the market price of a particular company’s securities, securities class action litigation has often been instituted against these companies. For example, we are currently subject to a number of putative class action lawsuits in state and federal court alleging federal securities law violations in connection with our IPO. This current litigation, and any securities litigation that may be instituted against us in the future, could result in substantial costs and a diversion of our management’s attention and resources.</w:t>
      </w:r>
    </w:p>
    <w:p>
      <w:pPr>
        <w:spacing w:after="0" w:line="163" w:lineRule="exact"/>
        <w:rPr>
          <w:sz w:val="20"/>
          <w:szCs w:val="20"/>
          <w:color w:val="auto"/>
        </w:rPr>
      </w:pPr>
    </w:p>
    <w:p>
      <w:pPr>
        <w:ind w:right="360"/>
        <w:spacing w:after="0" w:line="272" w:lineRule="auto"/>
        <w:rPr>
          <w:sz w:val="20"/>
          <w:szCs w:val="20"/>
          <w:color w:val="auto"/>
        </w:rPr>
      </w:pPr>
      <w:r>
        <w:rPr>
          <w:rFonts w:ascii="Arial" w:cs="Arial" w:eastAsia="Arial" w:hAnsi="Arial"/>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160"/>
          </w:cols>
          <w:pgMar w:left="320" w:top="123" w:right="41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80" w:firstLine="381"/>
        <w:spacing w:after="0" w:line="288" w:lineRule="auto"/>
        <w:rPr>
          <w:sz w:val="20"/>
          <w:szCs w:val="20"/>
          <w:color w:val="auto"/>
        </w:rPr>
      </w:pPr>
      <w:r>
        <w:rPr>
          <w:rFonts w:ascii="Arial" w:cs="Arial" w:eastAsia="Arial" w:hAnsi="Arial"/>
          <w:sz w:val="15"/>
          <w:szCs w:val="15"/>
          <w:color w:val="auto"/>
        </w:rPr>
        <w:t>Our Class A common stock has one vote per share, our Class B common stock has ten votes per share, and our Class C common stock has no voting rights, except as otherwise required by law. As of June 30, 2020, our directors, executive officers and holders of more than 5% of our common stock, and their respective affiliates, held in the aggregate 77.4% of the voting power of our capital stock, with Mr. Houston holding approximately 63.8% of the voting power of our capital stock. We are including Mr. Houston's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60" w:lineRule="exact"/>
        <w:rPr>
          <w:sz w:val="20"/>
          <w:szCs w:val="20"/>
          <w:color w:val="auto"/>
        </w:rPr>
      </w:pPr>
    </w:p>
    <w:p>
      <w:pPr>
        <w:ind w:right="20" w:firstLine="381"/>
        <w:spacing w:after="0" w:line="287" w:lineRule="auto"/>
        <w:rPr>
          <w:sz w:val="20"/>
          <w:szCs w:val="20"/>
          <w:color w:val="auto"/>
        </w:rPr>
      </w:pPr>
      <w:r>
        <w:rPr>
          <w:rFonts w:ascii="Arial" w:cs="Arial" w:eastAsia="Arial" w:hAnsi="Arial"/>
          <w:sz w:val="15"/>
          <w:szCs w:val="15"/>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65" w:lineRule="exact"/>
        <w:rPr>
          <w:sz w:val="20"/>
          <w:szCs w:val="20"/>
          <w:color w:val="auto"/>
        </w:rPr>
      </w:pPr>
    </w:p>
    <w:p>
      <w:pPr>
        <w:jc w:val="both"/>
        <w:ind w:right="120" w:firstLine="381"/>
        <w:spacing w:after="0" w:line="284" w:lineRule="auto"/>
        <w:rPr>
          <w:sz w:val="20"/>
          <w:szCs w:val="20"/>
          <w:color w:val="auto"/>
        </w:rPr>
      </w:pPr>
      <w:r>
        <w:rPr>
          <w:rFonts w:ascii="Arial" w:cs="Arial" w:eastAsia="Arial" w:hAnsi="Arial"/>
          <w:sz w:val="16"/>
          <w:szCs w:val="16"/>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59" w:lineRule="exact"/>
        <w:rPr>
          <w:sz w:val="20"/>
          <w:szCs w:val="20"/>
          <w:color w:val="auto"/>
        </w:rPr>
      </w:pPr>
    </w:p>
    <w:p>
      <w:pPr>
        <w:ind w:firstLine="381"/>
        <w:spacing w:after="0" w:line="271" w:lineRule="auto"/>
        <w:rPr>
          <w:sz w:val="20"/>
          <w:szCs w:val="20"/>
          <w:color w:val="auto"/>
        </w:rPr>
      </w:pPr>
      <w:r>
        <w:rPr>
          <w:rFonts w:ascii="Arial" w:cs="Arial" w:eastAsia="Arial" w:hAnsi="Arial"/>
          <w:sz w:val="16"/>
          <w:szCs w:val="16"/>
          <w:color w:val="auto"/>
        </w:rPr>
        <w:t>Additionally,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S&amp;P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could depress the market price of our Class A common stock.</w:t>
      </w:r>
    </w:p>
    <w:p>
      <w:pPr>
        <w:spacing w:after="0" w:line="211" w:lineRule="exact"/>
        <w:rPr>
          <w:sz w:val="20"/>
          <w:szCs w:val="20"/>
          <w:color w:val="auto"/>
        </w:rPr>
      </w:pPr>
    </w:p>
    <w:p>
      <w:pPr>
        <w:ind w:right="220" w:firstLine="381"/>
        <w:spacing w:after="0" w:line="272" w:lineRule="auto"/>
        <w:rPr>
          <w:sz w:val="20"/>
          <w:szCs w:val="20"/>
          <w:color w:val="auto"/>
        </w:rPr>
      </w:pPr>
      <w:r>
        <w:rPr>
          <w:rFonts w:ascii="Arial" w:cs="Arial" w:eastAsia="Arial" w:hAnsi="Arial"/>
          <w:sz w:val="17"/>
          <w:szCs w:val="17"/>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66" w:lineRule="exact"/>
        <w:rPr>
          <w:sz w:val="20"/>
          <w:szCs w:val="20"/>
          <w:color w:val="auto"/>
        </w:rPr>
      </w:pPr>
    </w:p>
    <w:p>
      <w:pPr>
        <w:jc w:val="both"/>
        <w:ind w:right="120" w:firstLine="381"/>
        <w:spacing w:after="0" w:line="261" w:lineRule="auto"/>
        <w:rPr>
          <w:sz w:val="20"/>
          <w:szCs w:val="20"/>
          <w:color w:val="auto"/>
        </w:rPr>
      </w:pPr>
      <w:r>
        <w:rPr>
          <w:rFonts w:ascii="Arial" w:cs="Arial" w:eastAsia="Arial" w:hAnsi="Arial"/>
          <w:sz w:val="17"/>
          <w:szCs w:val="17"/>
          <w:color w:val="auto"/>
        </w:rPr>
        <w:t>In addition, we have filed registration statements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40"/>
          </w:cols>
          <w:pgMar w:left="320" w:top="123" w:right="3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320" w:firstLine="381"/>
        <w:spacing w:after="0" w:line="305"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4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66" w:lineRule="exact"/>
        <w:rPr>
          <w:sz w:val="20"/>
          <w:szCs w:val="20"/>
          <w:color w:val="auto"/>
        </w:rPr>
      </w:pPr>
    </w:p>
    <w:p>
      <w:pPr>
        <w:ind w:right="100" w:firstLine="381"/>
        <w:spacing w:after="0" w:line="278"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63" w:lineRule="exact"/>
        <w:rPr>
          <w:sz w:val="20"/>
          <w:szCs w:val="20"/>
          <w:color w:val="auto"/>
        </w:rPr>
      </w:pPr>
    </w:p>
    <w:p>
      <w:pPr>
        <w:ind w:left="1220" w:right="320" w:hanging="305"/>
        <w:spacing w:after="0" w:line="272"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66" w:lineRule="exact"/>
        <w:rPr>
          <w:rFonts w:ascii="Arial" w:cs="Arial" w:eastAsia="Arial" w:hAnsi="Arial"/>
          <w:sz w:val="17"/>
          <w:szCs w:val="17"/>
          <w:color w:val="auto"/>
        </w:rPr>
      </w:pPr>
    </w:p>
    <w:p>
      <w:pPr>
        <w:ind w:left="1220" w:right="380" w:hanging="305"/>
        <w:spacing w:after="0" w:line="261"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74" w:lineRule="exact"/>
        <w:rPr>
          <w:rFonts w:ascii="Arial" w:cs="Arial" w:eastAsia="Arial" w:hAnsi="Arial"/>
          <w:sz w:val="17"/>
          <w:szCs w:val="17"/>
          <w:color w:val="auto"/>
        </w:rPr>
      </w:pPr>
    </w:p>
    <w:p>
      <w:pPr>
        <w:ind w:left="1220" w:hanging="305"/>
        <w:spacing w:after="0" w:line="261"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74" w:lineRule="exact"/>
        <w:rPr>
          <w:rFonts w:ascii="Arial" w:cs="Arial" w:eastAsia="Arial" w:hAnsi="Arial"/>
          <w:sz w:val="17"/>
          <w:szCs w:val="17"/>
          <w:color w:val="auto"/>
        </w:rPr>
      </w:pPr>
    </w:p>
    <w:p>
      <w:pPr>
        <w:ind w:left="1220" w:right="160" w:hanging="305"/>
        <w:spacing w:after="0" w:line="278" w:lineRule="auto"/>
        <w:tabs>
          <w:tab w:leader="none" w:pos="1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62" w:lineRule="exact"/>
        <w:rPr>
          <w:rFonts w:ascii="Arial" w:cs="Arial" w:eastAsia="Arial" w:hAnsi="Arial"/>
          <w:sz w:val="16"/>
          <w:szCs w:val="16"/>
          <w:color w:val="auto"/>
        </w:rPr>
      </w:pPr>
    </w:p>
    <w:p>
      <w:pPr>
        <w:ind w:left="1220" w:right="140" w:hanging="305"/>
        <w:spacing w:after="0" w:line="272"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66" w:lineRule="exact"/>
        <w:rPr>
          <w:rFonts w:ascii="Arial" w:cs="Arial" w:eastAsia="Arial" w:hAnsi="Arial"/>
          <w:sz w:val="17"/>
          <w:szCs w:val="17"/>
          <w:color w:val="auto"/>
        </w:rPr>
      </w:pPr>
    </w:p>
    <w:p>
      <w:pPr>
        <w:ind w:left="1220" w:right="60" w:hanging="305"/>
        <w:spacing w:after="0" w:line="272"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after the Voting Threshold Date our stockholders will only be able to take action at a meeting of stockholders, and will not be able to take action by written consent for any matter;</w:t>
      </w:r>
    </w:p>
    <w:p>
      <w:pPr>
        <w:spacing w:after="0" w:line="166" w:lineRule="exact"/>
        <w:rPr>
          <w:rFonts w:ascii="Arial" w:cs="Arial" w:eastAsia="Arial" w:hAnsi="Arial"/>
          <w:sz w:val="17"/>
          <w:szCs w:val="17"/>
          <w:color w:val="auto"/>
        </w:rPr>
      </w:pPr>
    </w:p>
    <w:p>
      <w:pPr>
        <w:ind w:left="1220" w:right="160" w:hanging="305"/>
        <w:spacing w:after="0" w:line="272"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until the Voting Threshold Date, our stockholders will be able to act by written consent only if the action is first recommended or approved by the Board of Directors;</w:t>
      </w:r>
    </w:p>
    <w:p>
      <w:pPr>
        <w:spacing w:after="0" w:line="166" w:lineRule="exact"/>
        <w:rPr>
          <w:rFonts w:ascii="Arial" w:cs="Arial" w:eastAsia="Arial" w:hAnsi="Arial"/>
          <w:sz w:val="17"/>
          <w:szCs w:val="17"/>
          <w:color w:val="auto"/>
        </w:rPr>
      </w:pPr>
    </w:p>
    <w:p>
      <w:pPr>
        <w:ind w:left="1220" w:hanging="305"/>
        <w:spacing w:after="0"/>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210" w:lineRule="exact"/>
        <w:rPr>
          <w:rFonts w:ascii="Arial" w:cs="Arial" w:eastAsia="Arial" w:hAnsi="Arial"/>
          <w:sz w:val="17"/>
          <w:szCs w:val="17"/>
          <w:color w:val="auto"/>
        </w:rPr>
      </w:pPr>
    </w:p>
    <w:p>
      <w:pPr>
        <w:jc w:val="both"/>
        <w:ind w:left="1220" w:right="20" w:hanging="305"/>
        <w:spacing w:after="0" w:line="261"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74" w:lineRule="exact"/>
        <w:rPr>
          <w:rFonts w:ascii="Arial" w:cs="Arial" w:eastAsia="Arial" w:hAnsi="Arial"/>
          <w:sz w:val="17"/>
          <w:szCs w:val="17"/>
          <w:color w:val="auto"/>
        </w:rPr>
      </w:pPr>
    </w:p>
    <w:p>
      <w:pPr>
        <w:ind w:left="1220" w:hanging="305"/>
        <w:spacing w:after="0"/>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certain litigation against us may be required to be brought in Delaware;</w:t>
      </w:r>
    </w:p>
    <w:p>
      <w:pPr>
        <w:spacing w:after="0" w:line="210" w:lineRule="exact"/>
        <w:rPr>
          <w:rFonts w:ascii="Arial" w:cs="Arial" w:eastAsia="Arial" w:hAnsi="Arial"/>
          <w:sz w:val="17"/>
          <w:szCs w:val="17"/>
          <w:color w:val="auto"/>
        </w:rPr>
      </w:pPr>
    </w:p>
    <w:p>
      <w:pPr>
        <w:ind w:left="1220" w:right="40" w:hanging="305"/>
        <w:spacing w:after="0" w:line="272"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66" w:lineRule="exact"/>
        <w:rPr>
          <w:rFonts w:ascii="Arial" w:cs="Arial" w:eastAsia="Arial" w:hAnsi="Arial"/>
          <w:sz w:val="17"/>
          <w:szCs w:val="17"/>
          <w:color w:val="auto"/>
        </w:rPr>
      </w:pPr>
    </w:p>
    <w:p>
      <w:pPr>
        <w:ind w:left="1220" w:right="200" w:hanging="305"/>
        <w:spacing w:after="0" w:line="272"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240"/>
          </w:cols>
          <w:pgMar w:left="320" w:top="123" w:right="3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40" w:firstLine="381"/>
        <w:spacing w:after="0" w:line="257"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78" w:lineRule="exact"/>
        <w:rPr>
          <w:sz w:val="20"/>
          <w:szCs w:val="20"/>
          <w:color w:val="auto"/>
        </w:rPr>
      </w:pPr>
    </w:p>
    <w:p>
      <w:pPr>
        <w:jc w:val="both"/>
        <w:ind w:right="340"/>
        <w:spacing w:after="0" w:line="257"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78" w:lineRule="exact"/>
        <w:rPr>
          <w:sz w:val="20"/>
          <w:szCs w:val="20"/>
          <w:color w:val="auto"/>
        </w:rPr>
      </w:pPr>
    </w:p>
    <w:p>
      <w:pPr>
        <w:ind w:right="100" w:firstLine="381"/>
        <w:spacing w:after="0" w:line="272"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70" w:lineRule="exact"/>
        <w:rPr>
          <w:sz w:val="20"/>
          <w:szCs w:val="20"/>
          <w:color w:val="auto"/>
        </w:rPr>
      </w:pPr>
    </w:p>
    <w:p>
      <w:pPr>
        <w:ind w:right="380" w:firstLine="381"/>
        <w:spacing w:after="0" w:line="272" w:lineRule="auto"/>
        <w:rPr>
          <w:sz w:val="20"/>
          <w:szCs w:val="20"/>
          <w:color w:val="auto"/>
        </w:rPr>
      </w:pPr>
      <w:r>
        <w:rPr>
          <w:rFonts w:ascii="Arial" w:cs="Arial" w:eastAsia="Arial" w:hAnsi="Arial"/>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66" w:lineRule="exact"/>
        <w:rPr>
          <w:sz w:val="20"/>
          <w:szCs w:val="20"/>
          <w:color w:val="auto"/>
        </w:rPr>
      </w:pPr>
    </w:p>
    <w:p>
      <w:pPr>
        <w:jc w:val="both"/>
        <w:ind w:right="160" w:firstLine="381"/>
        <w:spacing w:after="0" w:line="261"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75" w:lineRule="exact"/>
        <w:rPr>
          <w:sz w:val="20"/>
          <w:szCs w:val="20"/>
          <w:color w:val="auto"/>
        </w:rPr>
      </w:pPr>
    </w:p>
    <w:p>
      <w:pPr>
        <w:ind w:right="860" w:firstLine="381"/>
        <w:spacing w:after="0" w:line="272" w:lineRule="auto"/>
        <w:rPr>
          <w:sz w:val="20"/>
          <w:szCs w:val="20"/>
          <w:color w:val="auto"/>
        </w:rPr>
      </w:pPr>
      <w:r>
        <w:rPr>
          <w:rFonts w:ascii="Arial" w:cs="Arial" w:eastAsia="Arial" w:hAnsi="Arial"/>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11" w:lineRule="exact"/>
        <w:rPr>
          <w:sz w:val="20"/>
          <w:szCs w:val="20"/>
          <w:color w:val="auto"/>
        </w:rPr>
      </w:pPr>
    </w:p>
    <w:p>
      <w:pPr>
        <w:ind w:firstLine="368"/>
        <w:spacing w:after="0" w:line="254" w:lineRule="auto"/>
        <w:rPr>
          <w:sz w:val="20"/>
          <w:szCs w:val="20"/>
          <w:color w:val="auto"/>
        </w:rPr>
      </w:pPr>
      <w:r>
        <w:rPr>
          <w:rFonts w:ascii="Arial" w:cs="Arial" w:eastAsia="Arial" w:hAnsi="Arial"/>
          <w:sz w:val="17"/>
          <w:szCs w:val="17"/>
          <w:color w:val="auto"/>
        </w:rPr>
        <w:t>In February 2020, our Board of Directors approved a stock repurchase program for the repurchase of up to $600 million of the outstanding shares of our Class A common stock. The repurchase program does not have an expiration date and we are not obligated to repurchase a specified number or dollar value of shares. Share repurchases will be subject to a review of the circumstances in place at that time and will be made from time to time in private transactions or open market purchases, as permitted by securities laws and other legal requirements.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180" w:lineRule="exact"/>
        <w:rPr>
          <w:sz w:val="20"/>
          <w:szCs w:val="20"/>
          <w:color w:val="auto"/>
        </w:rPr>
      </w:pPr>
    </w:p>
    <w:p>
      <w:pPr>
        <w:ind w:right="380"/>
        <w:spacing w:after="0" w:line="272"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66" w:lineRule="exact"/>
        <w:rPr>
          <w:sz w:val="20"/>
          <w:szCs w:val="20"/>
          <w:color w:val="auto"/>
        </w:rPr>
      </w:pPr>
    </w:p>
    <w:p>
      <w:pPr>
        <w:ind w:right="180" w:firstLine="381"/>
        <w:spacing w:after="0" w:line="274"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11" w:lineRule="exact"/>
        <w:rPr>
          <w:sz w:val="20"/>
          <w:szCs w:val="20"/>
          <w:color w:val="auto"/>
        </w:rPr>
      </w:pPr>
    </w:p>
    <w:p>
      <w:pPr>
        <w:ind w:right="20" w:firstLine="381"/>
        <w:spacing w:after="0" w:line="261"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123" w:right="3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realize any future gains on their investment. In addition, our revolving credit facility contains restrictions on our ability to pay dividends.</w:t>
      </w: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139"/>
          </w:cols>
          <w:pgMar w:left="320" w:top="123" w:right="1440"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information with respect to Dropbox's repurchases of Class A common stock during the quarter ended June 30, 2020.</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jc w:val="center"/>
              <w:ind w:right="61"/>
              <w:spacing w:after="0"/>
              <w:rPr>
                <w:sz w:val="20"/>
                <w:szCs w:val="20"/>
                <w:color w:val="auto"/>
              </w:rPr>
            </w:pPr>
            <w:r>
              <w:rPr>
                <w:rFonts w:ascii="Arial" w:cs="Arial" w:eastAsia="Arial" w:hAnsi="Arial"/>
                <w:sz w:val="15"/>
                <w:szCs w:val="15"/>
                <w:color w:val="auto"/>
                <w:w w:val="95"/>
              </w:rPr>
              <w:t>Approximate Dollar Value of</w:t>
            </w:r>
          </w:p>
        </w:tc>
      </w:tr>
      <w:tr>
        <w:trPr>
          <w:trHeight w:val="190"/>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5"/>
                <w:szCs w:val="15"/>
                <w:color w:val="auto"/>
                <w:w w:val="91"/>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jc w:val="center"/>
              <w:ind w:right="81"/>
              <w:spacing w:after="0"/>
              <w:rPr>
                <w:sz w:val="20"/>
                <w:szCs w:val="20"/>
                <w:color w:val="auto"/>
              </w:rPr>
            </w:pPr>
            <w:r>
              <w:rPr>
                <w:rFonts w:ascii="Arial" w:cs="Arial" w:eastAsia="Arial" w:hAnsi="Arial"/>
                <w:sz w:val="15"/>
                <w:szCs w:val="15"/>
                <w:color w:val="auto"/>
                <w:w w:val="90"/>
              </w:rPr>
              <w:t>Shares that May Yet Be</w:t>
            </w:r>
          </w:p>
        </w:tc>
      </w:tr>
      <w:tr>
        <w:trPr>
          <w:trHeight w:val="190"/>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5"/>
                <w:szCs w:val="15"/>
                <w:color w:val="auto"/>
                <w:w w:val="90"/>
              </w:rPr>
              <w:t>Purchased as Part of Publicly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jc w:val="center"/>
              <w:ind w:right="61"/>
              <w:spacing w:after="0"/>
              <w:rPr>
                <w:sz w:val="20"/>
                <w:szCs w:val="20"/>
                <w:color w:val="auto"/>
              </w:rPr>
            </w:pPr>
            <w:r>
              <w:rPr>
                <w:rFonts w:ascii="Arial" w:cs="Arial" w:eastAsia="Arial" w:hAnsi="Arial"/>
                <w:sz w:val="15"/>
                <w:szCs w:val="15"/>
                <w:color w:val="auto"/>
                <w:w w:val="91"/>
              </w:rPr>
              <w:t>Purchased Under Publicly</w:t>
            </w:r>
          </w:p>
        </w:tc>
      </w:tr>
      <w:tr>
        <w:trPr>
          <w:trHeight w:val="189"/>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right"/>
              <w:ind w:right="258"/>
              <w:spacing w:after="0"/>
              <w:rPr>
                <w:sz w:val="20"/>
                <w:szCs w:val="20"/>
                <w:color w:val="auto"/>
              </w:rPr>
            </w:pPr>
            <w:r>
              <w:rPr>
                <w:rFonts w:ascii="Arial" w:cs="Arial" w:eastAsia="Arial" w:hAnsi="Arial"/>
                <w:sz w:val="15"/>
                <w:szCs w:val="15"/>
                <w:color w:val="auto"/>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5"/>
                <w:szCs w:val="15"/>
                <w:color w:val="auto"/>
                <w:w w:val="90"/>
              </w:rPr>
              <w:t>Announced Programs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jc w:val="center"/>
              <w:ind w:right="81"/>
              <w:spacing w:after="0"/>
              <w:rPr>
                <w:sz w:val="20"/>
                <w:szCs w:val="20"/>
                <w:color w:val="auto"/>
              </w:rPr>
            </w:pPr>
            <w:r>
              <w:rPr>
                <w:rFonts w:ascii="Arial" w:cs="Arial" w:eastAsia="Arial" w:hAnsi="Arial"/>
                <w:sz w:val="15"/>
                <w:szCs w:val="15"/>
                <w:color w:val="auto"/>
                <w:w w:val="90"/>
              </w:rPr>
              <w:t>Announced Programs</w:t>
            </w:r>
          </w:p>
        </w:tc>
      </w:tr>
      <w:tr>
        <w:trPr>
          <w:trHeight w:val="225"/>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Period</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ind w:right="218"/>
              <w:spacing w:after="0" w:line="226" w:lineRule="exact"/>
              <w:rPr>
                <w:sz w:val="20"/>
                <w:szCs w:val="20"/>
                <w:color w:val="auto"/>
              </w:rPr>
            </w:pPr>
            <w:r>
              <w:rPr>
                <w:rFonts w:ascii="Arial" w:cs="Arial" w:eastAsia="Arial" w:hAnsi="Arial"/>
                <w:sz w:val="15"/>
                <w:szCs w:val="15"/>
                <w:color w:val="auto"/>
              </w:rPr>
              <w:t>Purchased (in millions)</w:t>
            </w:r>
            <w:r>
              <w:rPr>
                <w:rFonts w:ascii="Arial" w:cs="Arial" w:eastAsia="Arial" w:hAnsi="Arial"/>
                <w:sz w:val="20"/>
                <w:szCs w:val="20"/>
                <w:color w:val="auto"/>
                <w:vertAlign w:val="superscript"/>
              </w:rPr>
              <w:t>(1)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7"/>
              <w:spacing w:after="0" w:line="226" w:lineRule="exact"/>
              <w:rPr>
                <w:sz w:val="20"/>
                <w:szCs w:val="20"/>
                <w:color w:val="auto"/>
              </w:rPr>
            </w:pPr>
            <w:r>
              <w:rPr>
                <w:rFonts w:ascii="Arial" w:cs="Arial" w:eastAsia="Arial" w:hAnsi="Arial"/>
                <w:sz w:val="15"/>
                <w:szCs w:val="15"/>
                <w:color w:val="auto"/>
                <w:w w:val="87"/>
              </w:rPr>
              <w:t>Average Price Paid per Share</w:t>
            </w:r>
            <w:r>
              <w:rPr>
                <w:rFonts w:ascii="Arial" w:cs="Arial" w:eastAsia="Arial" w:hAnsi="Arial"/>
                <w:sz w:val="20"/>
                <w:szCs w:val="20"/>
                <w:color w:val="auto"/>
                <w:w w:val="87"/>
                <w:vertAlign w:val="superscript"/>
              </w:rPr>
              <w:t>(2)</w:t>
            </w:r>
          </w:p>
        </w:tc>
        <w:tc>
          <w:tcPr>
            <w:tcW w:w="120" w:type="dxa"/>
            <w:vAlign w:val="bottom"/>
          </w:tcPr>
          <w:p>
            <w:pPr>
              <w:spacing w:after="0"/>
              <w:rPr>
                <w:sz w:val="19"/>
                <w:szCs w:val="19"/>
                <w:color w:val="auto"/>
              </w:rPr>
            </w:pPr>
          </w:p>
        </w:tc>
        <w:tc>
          <w:tcPr>
            <w:tcW w:w="2120" w:type="dxa"/>
            <w:vAlign w:val="bottom"/>
            <w:tcBorders>
              <w:bottom w:val="single" w:sz="8" w:color="auto"/>
            </w:tcBorders>
          </w:tcPr>
          <w:p>
            <w:pPr>
              <w:jc w:val="center"/>
              <w:spacing w:after="0" w:line="226" w:lineRule="exact"/>
              <w:rPr>
                <w:sz w:val="20"/>
                <w:szCs w:val="20"/>
                <w:color w:val="auto"/>
              </w:rPr>
            </w:pPr>
            <w:r>
              <w:rPr>
                <w:rFonts w:ascii="Arial" w:cs="Arial" w:eastAsia="Arial" w:hAnsi="Arial"/>
                <w:sz w:val="15"/>
                <w:szCs w:val="15"/>
                <w:color w:val="auto"/>
                <w:w w:val="95"/>
              </w:rPr>
              <w:t>(in millions)</w:t>
            </w:r>
            <w:r>
              <w:rPr>
                <w:rFonts w:ascii="Arial" w:cs="Arial" w:eastAsia="Arial" w:hAnsi="Arial"/>
                <w:sz w:val="20"/>
                <w:szCs w:val="20"/>
                <w:color w:val="auto"/>
                <w:w w:val="95"/>
                <w:vertAlign w:val="superscript"/>
              </w:rPr>
              <w:t>(1)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81"/>
              <w:spacing w:after="0" w:line="226" w:lineRule="exact"/>
              <w:rPr>
                <w:sz w:val="20"/>
                <w:szCs w:val="20"/>
                <w:color w:val="auto"/>
              </w:rPr>
            </w:pPr>
            <w:r>
              <w:rPr>
                <w:rFonts w:ascii="Arial" w:cs="Arial" w:eastAsia="Arial" w:hAnsi="Arial"/>
                <w:sz w:val="15"/>
                <w:szCs w:val="15"/>
                <w:color w:val="auto"/>
                <w:w w:val="95"/>
              </w:rPr>
              <w:t>(in millions)</w:t>
            </w:r>
            <w:r>
              <w:rPr>
                <w:rFonts w:ascii="Arial" w:cs="Arial" w:eastAsia="Arial" w:hAnsi="Arial"/>
                <w:sz w:val="20"/>
                <w:szCs w:val="20"/>
                <w:color w:val="auto"/>
                <w:w w:val="95"/>
                <w:vertAlign w:val="superscript"/>
              </w:rPr>
              <w:t>(1)</w:t>
            </w:r>
          </w:p>
        </w:tc>
      </w:tr>
      <w:tr>
        <w:trPr>
          <w:trHeight w:val="220"/>
        </w:trPr>
        <w:tc>
          <w:tcPr>
            <w:tcW w:w="2360" w:type="dxa"/>
            <w:vAlign w:val="bottom"/>
            <w:gridSpan w:val="2"/>
          </w:tcPr>
          <w:p>
            <w:pPr>
              <w:ind w:left="40"/>
              <w:spacing w:after="0"/>
              <w:rPr>
                <w:sz w:val="20"/>
                <w:szCs w:val="20"/>
                <w:color w:val="auto"/>
              </w:rPr>
            </w:pPr>
            <w:r>
              <w:rPr>
                <w:rFonts w:ascii="Arial" w:cs="Arial" w:eastAsia="Arial" w:hAnsi="Arial"/>
                <w:sz w:val="17"/>
                <w:szCs w:val="17"/>
                <w:color w:val="auto"/>
              </w:rPr>
              <w:t>April 1 - 30</w:t>
            </w:r>
          </w:p>
        </w:tc>
        <w:tc>
          <w:tcPr>
            <w:tcW w:w="2140" w:type="dxa"/>
            <w:vAlign w:val="bottom"/>
          </w:tcPr>
          <w:p>
            <w:pPr>
              <w:jc w:val="right"/>
              <w:ind w:right="38"/>
              <w:spacing w:after="0"/>
              <w:rPr>
                <w:sz w:val="20"/>
                <w:szCs w:val="20"/>
                <w:color w:val="auto"/>
              </w:rPr>
            </w:pPr>
            <w:r>
              <w:rPr>
                <w:rFonts w:ascii="Arial" w:cs="Arial" w:eastAsia="Arial" w:hAnsi="Arial"/>
                <w:sz w:val="17"/>
                <w:szCs w:val="17"/>
                <w:color w:val="auto"/>
              </w:rPr>
              <w:t>1.95</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37"/>
              <w:spacing w:after="0"/>
              <w:rPr>
                <w:sz w:val="20"/>
                <w:szCs w:val="20"/>
                <w:color w:val="auto"/>
              </w:rPr>
            </w:pPr>
            <w:r>
              <w:rPr>
                <w:rFonts w:ascii="Arial" w:cs="Arial" w:eastAsia="Arial" w:hAnsi="Arial"/>
                <w:sz w:val="17"/>
                <w:szCs w:val="17"/>
                <w:color w:val="auto"/>
              </w:rPr>
              <w:t>19.05</w:t>
            </w:r>
          </w:p>
        </w:tc>
        <w:tc>
          <w:tcPr>
            <w:tcW w:w="120" w:type="dxa"/>
            <w:vAlign w:val="bottom"/>
          </w:tcPr>
          <w:p>
            <w:pPr>
              <w:spacing w:after="0"/>
              <w:rPr>
                <w:sz w:val="19"/>
                <w:szCs w:val="19"/>
                <w:color w:val="auto"/>
              </w:rPr>
            </w:pPr>
          </w:p>
        </w:tc>
        <w:tc>
          <w:tcPr>
            <w:tcW w:w="2120" w:type="dxa"/>
            <w:vAlign w:val="bottom"/>
          </w:tcPr>
          <w:p>
            <w:pPr>
              <w:jc w:val="right"/>
              <w:ind w:right="20"/>
              <w:spacing w:after="0"/>
              <w:rPr>
                <w:sz w:val="20"/>
                <w:szCs w:val="20"/>
                <w:color w:val="auto"/>
              </w:rPr>
            </w:pPr>
            <w:r>
              <w:rPr>
                <w:rFonts w:ascii="Arial" w:cs="Arial" w:eastAsia="Arial" w:hAnsi="Arial"/>
                <w:sz w:val="17"/>
                <w:szCs w:val="17"/>
                <w:color w:val="auto"/>
              </w:rPr>
              <w:t>1.95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960" w:type="dxa"/>
            <w:vAlign w:val="bottom"/>
          </w:tcPr>
          <w:p>
            <w:pPr>
              <w:jc w:val="right"/>
              <w:ind w:right="21"/>
              <w:spacing w:after="0"/>
              <w:rPr>
                <w:sz w:val="20"/>
                <w:szCs w:val="20"/>
                <w:color w:val="auto"/>
              </w:rPr>
            </w:pPr>
            <w:r>
              <w:rPr>
                <w:rFonts w:ascii="Arial" w:cs="Arial" w:eastAsia="Arial" w:hAnsi="Arial"/>
                <w:sz w:val="17"/>
                <w:szCs w:val="17"/>
                <w:color w:val="auto"/>
              </w:rPr>
              <w:t>498.89</w:t>
            </w:r>
          </w:p>
        </w:tc>
      </w:tr>
      <w:tr>
        <w:trPr>
          <w:trHeight w:val="293"/>
        </w:trPr>
        <w:tc>
          <w:tcPr>
            <w:tcW w:w="2360" w:type="dxa"/>
            <w:vAlign w:val="bottom"/>
            <w:gridSpan w:val="2"/>
          </w:tcPr>
          <w:p>
            <w:pPr>
              <w:ind w:left="40"/>
              <w:spacing w:after="0"/>
              <w:rPr>
                <w:sz w:val="20"/>
                <w:szCs w:val="20"/>
                <w:color w:val="auto"/>
              </w:rPr>
            </w:pPr>
            <w:r>
              <w:rPr>
                <w:rFonts w:ascii="Arial" w:cs="Arial" w:eastAsia="Arial" w:hAnsi="Arial"/>
                <w:sz w:val="17"/>
                <w:szCs w:val="17"/>
                <w:color w:val="auto"/>
              </w:rPr>
              <w:t>May 1 - 31</w:t>
            </w:r>
          </w:p>
        </w:tc>
        <w:tc>
          <w:tcPr>
            <w:tcW w:w="2140" w:type="dxa"/>
            <w:vAlign w:val="bottom"/>
          </w:tcPr>
          <w:p>
            <w:pPr>
              <w:jc w:val="right"/>
              <w:ind w:right="38"/>
              <w:spacing w:after="0"/>
              <w:rPr>
                <w:sz w:val="20"/>
                <w:szCs w:val="20"/>
                <w:color w:val="auto"/>
              </w:rPr>
            </w:pPr>
            <w:r>
              <w:rPr>
                <w:rFonts w:ascii="Arial" w:cs="Arial" w:eastAsia="Arial" w:hAnsi="Arial"/>
                <w:sz w:val="17"/>
                <w:szCs w:val="17"/>
                <w:color w:val="auto"/>
              </w:rPr>
              <w:t xml:space="preserve">1.21 </w:t>
            </w:r>
            <w:r>
              <w:rPr>
                <w:rFonts w:ascii="Arial" w:cs="Arial" w:eastAsia="Arial" w:hAnsi="Arial"/>
                <w:sz w:val="23"/>
                <w:szCs w:val="23"/>
                <w:color w:val="auto"/>
                <w:vertAlign w:val="superscript"/>
              </w:rPr>
              <w:t>(3)</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37"/>
              <w:spacing w:after="0"/>
              <w:rPr>
                <w:sz w:val="20"/>
                <w:szCs w:val="20"/>
                <w:color w:val="auto"/>
              </w:rPr>
            </w:pPr>
            <w:r>
              <w:rPr>
                <w:rFonts w:ascii="Arial" w:cs="Arial" w:eastAsia="Arial" w:hAnsi="Arial"/>
                <w:sz w:val="17"/>
                <w:szCs w:val="17"/>
                <w:color w:val="auto"/>
              </w:rPr>
              <w:t>21.50</w:t>
            </w:r>
          </w:p>
        </w:tc>
        <w:tc>
          <w:tcPr>
            <w:tcW w:w="120" w:type="dxa"/>
            <w:vAlign w:val="bottom"/>
          </w:tcPr>
          <w:p>
            <w:pPr>
              <w:spacing w:after="0"/>
              <w:rPr>
                <w:sz w:val="24"/>
                <w:szCs w:val="24"/>
                <w:color w:val="auto"/>
              </w:rPr>
            </w:pPr>
          </w:p>
        </w:tc>
        <w:tc>
          <w:tcPr>
            <w:tcW w:w="2120" w:type="dxa"/>
            <w:vAlign w:val="bottom"/>
          </w:tcPr>
          <w:p>
            <w:pPr>
              <w:jc w:val="right"/>
              <w:ind w:right="20"/>
              <w:spacing w:after="0"/>
              <w:rPr>
                <w:sz w:val="20"/>
                <w:szCs w:val="20"/>
                <w:color w:val="auto"/>
              </w:rPr>
            </w:pPr>
            <w:r>
              <w:rPr>
                <w:rFonts w:ascii="Arial" w:cs="Arial" w:eastAsia="Arial" w:hAnsi="Arial"/>
                <w:sz w:val="17"/>
                <w:szCs w:val="17"/>
                <w:color w:val="auto"/>
              </w:rPr>
              <w:t>1.20</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960" w:type="dxa"/>
            <w:vAlign w:val="bottom"/>
          </w:tcPr>
          <w:p>
            <w:pPr>
              <w:jc w:val="right"/>
              <w:ind w:right="21"/>
              <w:spacing w:after="0"/>
              <w:rPr>
                <w:sz w:val="20"/>
                <w:szCs w:val="20"/>
                <w:color w:val="auto"/>
              </w:rPr>
            </w:pPr>
            <w:r>
              <w:rPr>
                <w:rFonts w:ascii="Arial" w:cs="Arial" w:eastAsia="Arial" w:hAnsi="Arial"/>
                <w:sz w:val="17"/>
                <w:szCs w:val="17"/>
                <w:color w:val="auto"/>
              </w:rPr>
              <w:t>473.08</w:t>
            </w:r>
          </w:p>
        </w:tc>
      </w:tr>
      <w:tr>
        <w:trPr>
          <w:trHeight w:val="215"/>
        </w:trPr>
        <w:tc>
          <w:tcPr>
            <w:tcW w:w="2360" w:type="dxa"/>
            <w:vAlign w:val="bottom"/>
            <w:gridSpan w:val="2"/>
          </w:tcPr>
          <w:p>
            <w:pPr>
              <w:ind w:left="40"/>
              <w:spacing w:after="0"/>
              <w:rPr>
                <w:sz w:val="20"/>
                <w:szCs w:val="20"/>
                <w:color w:val="auto"/>
              </w:rPr>
            </w:pPr>
            <w:r>
              <w:rPr>
                <w:rFonts w:ascii="Arial" w:cs="Arial" w:eastAsia="Arial" w:hAnsi="Arial"/>
                <w:sz w:val="17"/>
                <w:szCs w:val="17"/>
                <w:color w:val="auto"/>
              </w:rPr>
              <w:t>June 1 - 30</w:t>
            </w:r>
          </w:p>
        </w:tc>
        <w:tc>
          <w:tcPr>
            <w:tcW w:w="2140" w:type="dxa"/>
            <w:vAlign w:val="bottom"/>
          </w:tcPr>
          <w:p>
            <w:pPr>
              <w:jc w:val="right"/>
              <w:ind w:right="38"/>
              <w:spacing w:after="0"/>
              <w:rPr>
                <w:sz w:val="20"/>
                <w:szCs w:val="20"/>
                <w:color w:val="auto"/>
              </w:rPr>
            </w:pPr>
            <w:r>
              <w:rPr>
                <w:rFonts w:ascii="Arial" w:cs="Arial" w:eastAsia="Arial" w:hAnsi="Arial"/>
                <w:sz w:val="17"/>
                <w:szCs w:val="17"/>
                <w:color w:val="auto"/>
              </w:rPr>
              <w:t>0.58</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37"/>
              <w:spacing w:after="0"/>
              <w:rPr>
                <w:sz w:val="20"/>
                <w:szCs w:val="20"/>
                <w:color w:val="auto"/>
              </w:rPr>
            </w:pPr>
            <w:r>
              <w:rPr>
                <w:rFonts w:ascii="Arial" w:cs="Arial" w:eastAsia="Arial" w:hAnsi="Arial"/>
                <w:sz w:val="17"/>
                <w:szCs w:val="17"/>
                <w:color w:val="auto"/>
              </w:rPr>
              <w:t>22.37</w:t>
            </w:r>
          </w:p>
        </w:tc>
        <w:tc>
          <w:tcPr>
            <w:tcW w:w="120" w:type="dxa"/>
            <w:vAlign w:val="bottom"/>
          </w:tcPr>
          <w:p>
            <w:pPr>
              <w:spacing w:after="0"/>
              <w:rPr>
                <w:sz w:val="18"/>
                <w:szCs w:val="18"/>
                <w:color w:val="auto"/>
              </w:rPr>
            </w:pPr>
          </w:p>
        </w:tc>
        <w:tc>
          <w:tcPr>
            <w:tcW w:w="2120" w:type="dxa"/>
            <w:vAlign w:val="bottom"/>
          </w:tcPr>
          <w:p>
            <w:pPr>
              <w:jc w:val="right"/>
              <w:ind w:right="20"/>
              <w:spacing w:after="0"/>
              <w:rPr>
                <w:sz w:val="20"/>
                <w:szCs w:val="20"/>
                <w:color w:val="auto"/>
              </w:rPr>
            </w:pPr>
            <w:r>
              <w:rPr>
                <w:rFonts w:ascii="Arial" w:cs="Arial" w:eastAsia="Arial" w:hAnsi="Arial"/>
                <w:sz w:val="17"/>
                <w:szCs w:val="17"/>
                <w:color w:val="auto"/>
              </w:rPr>
              <w:t>0.58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960" w:type="dxa"/>
            <w:vAlign w:val="bottom"/>
          </w:tcPr>
          <w:p>
            <w:pPr>
              <w:jc w:val="right"/>
              <w:ind w:right="21"/>
              <w:spacing w:after="0"/>
              <w:rPr>
                <w:sz w:val="20"/>
                <w:szCs w:val="20"/>
                <w:color w:val="auto"/>
              </w:rPr>
            </w:pPr>
            <w:r>
              <w:rPr>
                <w:rFonts w:ascii="Arial" w:cs="Arial" w:eastAsia="Arial" w:hAnsi="Arial"/>
                <w:sz w:val="17"/>
                <w:szCs w:val="17"/>
                <w:color w:val="auto"/>
              </w:rPr>
              <w:t>460.19</w:t>
            </w:r>
          </w:p>
        </w:tc>
      </w:tr>
      <w:tr>
        <w:trPr>
          <w:trHeight w:val="26"/>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0"/>
        </w:trPr>
        <w:tc>
          <w:tcPr>
            <w:tcW w:w="23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Total</w:t>
            </w:r>
          </w:p>
        </w:tc>
        <w:tc>
          <w:tcPr>
            <w:tcW w:w="21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3.74</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37"/>
              <w:spacing w:after="0"/>
              <w:rPr>
                <w:sz w:val="20"/>
                <w:szCs w:val="20"/>
                <w:color w:val="auto"/>
              </w:rPr>
            </w:pPr>
            <w:r>
              <w:rPr>
                <w:rFonts w:ascii="Arial" w:cs="Arial" w:eastAsia="Arial" w:hAnsi="Arial"/>
                <w:sz w:val="17"/>
                <w:szCs w:val="17"/>
                <w:color w:val="auto"/>
              </w:rPr>
              <w:t>20.35</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3.73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620" w:right="20" w:hanging="9"/>
        <w:spacing w:after="0" w:line="270" w:lineRule="auto"/>
        <w:tabs>
          <w:tab w:leader="none" w:pos="788"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On February 20, 2020, we announced that our Board of Directors approved a stock repurchase program for the repurchase of up to $600 million of the Company's outstanding shares of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Equity" of this Quarterly Report on Form 10-Q for additional information related to share repurchases.</w:t>
      </w:r>
    </w:p>
    <w:p>
      <w:pPr>
        <w:spacing w:after="0" w:line="155" w:lineRule="exact"/>
        <w:rPr>
          <w:rFonts w:ascii="Arial" w:cs="Arial" w:eastAsia="Arial" w:hAnsi="Arial"/>
          <w:sz w:val="21"/>
          <w:szCs w:val="21"/>
          <w:color w:val="auto"/>
          <w:vertAlign w:val="superscript"/>
        </w:rPr>
      </w:pPr>
    </w:p>
    <w:p>
      <w:pPr>
        <w:ind w:left="780" w:hanging="169"/>
        <w:spacing w:after="0"/>
        <w:tabs>
          <w:tab w:leader="none" w:pos="780" w:val="left"/>
        </w:tabs>
        <w:numPr>
          <w:ilvl w:val="0"/>
          <w:numId w:val="29"/>
        </w:numPr>
        <w:rPr>
          <w:rFonts w:ascii="Arial" w:cs="Arial" w:eastAsia="Arial" w:hAnsi="Arial"/>
          <w:sz w:val="20"/>
          <w:szCs w:val="20"/>
          <w:color w:val="auto"/>
          <w:vertAlign w:val="superscript"/>
        </w:rPr>
      </w:pPr>
      <w:r>
        <w:rPr>
          <w:rFonts w:ascii="Arial" w:cs="Arial" w:eastAsia="Arial" w:hAnsi="Arial"/>
          <w:sz w:val="15"/>
          <w:szCs w:val="15"/>
          <w:color w:val="auto"/>
        </w:rPr>
        <w:t>Average price paid per share includes costs associated with the repurchases.</w:t>
      </w:r>
    </w:p>
    <w:p>
      <w:pPr>
        <w:spacing w:after="0" w:line="191" w:lineRule="exact"/>
        <w:rPr>
          <w:rFonts w:ascii="Arial" w:cs="Arial" w:eastAsia="Arial" w:hAnsi="Arial"/>
          <w:sz w:val="20"/>
          <w:szCs w:val="20"/>
          <w:color w:val="auto"/>
          <w:vertAlign w:val="superscript"/>
        </w:rPr>
      </w:pPr>
    </w:p>
    <w:p>
      <w:pPr>
        <w:ind w:left="620" w:right="400" w:hanging="9"/>
        <w:spacing w:after="0" w:line="245" w:lineRule="auto"/>
        <w:tabs>
          <w:tab w:leader="none" w:pos="788"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Includes 13,516 shares of restricted common stock delivered by certain employees upon vesting of restricted stock awards to satisfy tax withholding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20"/>
          </w:cols>
          <w:pgMar w:left="320" w:top="123" w:right="35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EXHIBIT INDEX</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20" w:type="dxa"/>
            <w:vAlign w:val="bottom"/>
            <w:vMerge w:val="continue"/>
          </w:tcPr>
          <w:p>
            <w:pPr>
              <w:spacing w:after="0"/>
              <w:rPr>
                <w:sz w:val="12"/>
                <w:szCs w:val="12"/>
                <w:color w:val="auto"/>
              </w:rPr>
            </w:pPr>
          </w:p>
        </w:tc>
        <w:tc>
          <w:tcPr>
            <w:tcW w:w="5180" w:type="dxa"/>
            <w:vAlign w:val="bottom"/>
            <w:gridSpan w:val="3"/>
            <w:vMerge w:val="restart"/>
          </w:tcPr>
          <w:p>
            <w:pPr>
              <w:ind w:left="2240"/>
              <w:spacing w:after="0"/>
              <w:rPr>
                <w:sz w:val="20"/>
                <w:szCs w:val="20"/>
                <w:color w:val="auto"/>
              </w:rPr>
            </w:pPr>
            <w:r>
              <w:rPr>
                <w:rFonts w:ascii="Arial" w:cs="Arial" w:eastAsia="Arial" w:hAnsi="Arial"/>
                <w:sz w:val="14"/>
                <w:szCs w:val="14"/>
                <w:b w:val="1"/>
                <w:bCs w:val="1"/>
                <w:color w:val="auto"/>
              </w:rPr>
              <w:t>Description</w:t>
            </w:r>
          </w:p>
        </w:tc>
        <w:tc>
          <w:tcPr>
            <w:tcW w:w="8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4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7"/>
              </w:rPr>
              <w:t>Reference from</w:t>
            </w:r>
          </w:p>
        </w:tc>
        <w:tc>
          <w:tcPr>
            <w:tcW w:w="11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8"/>
              </w:rPr>
              <w:t>Filed with SEC</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180" w:type="dxa"/>
            <w:vAlign w:val="bottom"/>
            <w:gridSpan w:val="3"/>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Number</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20"/>
                <w:szCs w:val="20"/>
                <w:color w:val="auto"/>
              </w:rPr>
            </w:pPr>
            <w:r>
              <w:rPr>
                <w:rFonts w:ascii="Arial" w:cs="Arial" w:eastAsia="Arial" w:hAnsi="Arial"/>
                <w:sz w:val="14"/>
                <w:szCs w:val="14"/>
                <w:color w:val="auto"/>
              </w:rPr>
              <w:t>4.1</w:t>
            </w:r>
          </w:p>
        </w:tc>
        <w:tc>
          <w:tcPr>
            <w:tcW w:w="5180" w:type="dxa"/>
            <w:vAlign w:val="bottom"/>
            <w:gridSpan w:val="3"/>
          </w:tcPr>
          <w:p>
            <w:pPr>
              <w:spacing w:after="0"/>
              <w:rPr>
                <w:rFonts w:ascii="Arial" w:cs="Arial" w:eastAsia="Arial" w:hAnsi="Arial"/>
                <w:sz w:val="14"/>
                <w:szCs w:val="14"/>
                <w:u w:val="single" w:color="auto"/>
                <w:color w:val="0000FF"/>
              </w:rPr>
            </w:pPr>
            <w:hyperlink w:anchor="page88">
              <w:r>
                <w:rPr>
                  <w:rFonts w:ascii="Arial" w:cs="Arial" w:eastAsia="Arial" w:hAnsi="Arial"/>
                  <w:sz w:val="14"/>
                  <w:szCs w:val="14"/>
                  <w:u w:val="single" w:color="auto"/>
                  <w:color w:val="0000FF"/>
                </w:rPr>
                <w:t>Description of Capital Stock</w:t>
              </w:r>
            </w:hyperlink>
          </w:p>
        </w:tc>
        <w:tc>
          <w:tcPr>
            <w:tcW w:w="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8"/>
        </w:trPr>
        <w:tc>
          <w:tcPr>
            <w:tcW w:w="1020" w:type="dxa"/>
            <w:vAlign w:val="bottom"/>
          </w:tcPr>
          <w:p>
            <w:pPr>
              <w:spacing w:after="0"/>
              <w:rPr>
                <w:sz w:val="20"/>
                <w:szCs w:val="20"/>
                <w:color w:val="auto"/>
              </w:rPr>
            </w:pPr>
            <w:r>
              <w:rPr>
                <w:rFonts w:ascii="Arial" w:cs="Arial" w:eastAsia="Arial" w:hAnsi="Arial"/>
                <w:sz w:val="14"/>
                <w:szCs w:val="14"/>
                <w:color w:val="auto"/>
              </w:rPr>
              <w:t>10.1 +</w:t>
            </w:r>
          </w:p>
        </w:tc>
        <w:tc>
          <w:tcPr>
            <w:tcW w:w="5180" w:type="dxa"/>
            <w:vAlign w:val="bottom"/>
            <w:gridSpan w:val="3"/>
            <w:vMerge w:val="restart"/>
          </w:tcPr>
          <w:p>
            <w:pPr>
              <w:spacing w:after="0"/>
              <w:rPr>
                <w:rFonts w:ascii="Arial" w:cs="Arial" w:eastAsia="Arial" w:hAnsi="Arial"/>
                <w:sz w:val="14"/>
                <w:szCs w:val="14"/>
                <w:u w:val="single" w:color="auto"/>
                <w:color w:val="0000FF"/>
              </w:rPr>
            </w:pPr>
            <w:hyperlink w:anchor="page93">
              <w:r>
                <w:rPr>
                  <w:rFonts w:ascii="Arial" w:cs="Arial" w:eastAsia="Arial" w:hAnsi="Arial"/>
                  <w:sz w:val="14"/>
                  <w:szCs w:val="14"/>
                  <w:u w:val="single" w:color="auto"/>
                  <w:color w:val="0000FF"/>
                </w:rPr>
                <w:t>Offer Letter between the Registrant and Timothy Regan</w:t>
              </w:r>
            </w:hyperlink>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518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8"/>
        </w:trPr>
        <w:tc>
          <w:tcPr>
            <w:tcW w:w="1020" w:type="dxa"/>
            <w:vAlign w:val="bottom"/>
          </w:tcPr>
          <w:p>
            <w:pPr>
              <w:spacing w:after="0"/>
              <w:rPr>
                <w:sz w:val="20"/>
                <w:szCs w:val="20"/>
                <w:color w:val="auto"/>
              </w:rPr>
            </w:pPr>
            <w:r>
              <w:rPr>
                <w:rFonts w:ascii="Arial" w:cs="Arial" w:eastAsia="Arial" w:hAnsi="Arial"/>
                <w:sz w:val="14"/>
                <w:szCs w:val="14"/>
                <w:color w:val="auto"/>
              </w:rPr>
              <w:t>31.1</w:t>
            </w:r>
          </w:p>
        </w:tc>
        <w:tc>
          <w:tcPr>
            <w:tcW w:w="5180" w:type="dxa"/>
            <w:vAlign w:val="bottom"/>
            <w:gridSpan w:val="3"/>
          </w:tcPr>
          <w:p>
            <w:pPr>
              <w:spacing w:after="0"/>
              <w:rPr>
                <w:rFonts w:ascii="Arial" w:cs="Arial" w:eastAsia="Arial" w:hAnsi="Arial"/>
                <w:sz w:val="14"/>
                <w:szCs w:val="14"/>
                <w:color w:val="0000FF"/>
                <w:w w:val="93"/>
              </w:rPr>
            </w:pPr>
            <w:hyperlink w:anchor="page97">
              <w:r>
                <w:rPr>
                  <w:rFonts w:ascii="Arial" w:cs="Arial" w:eastAsia="Arial" w:hAnsi="Arial"/>
                  <w:sz w:val="14"/>
                  <w:szCs w:val="14"/>
                  <w:color w:val="0000FF"/>
                  <w:w w:val="93"/>
                </w:rPr>
                <w:t>Certification of Principal Executive Officer pursuant to Exchange Act Rules 13a-14(a) and</w:t>
              </w:r>
            </w:hyperlink>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920" w:type="dxa"/>
            <w:vAlign w:val="bottom"/>
            <w:tcBorders>
              <w:top w:val="single" w:sz="8" w:color="0000FF"/>
            </w:tcBorders>
            <w:gridSpan w:val="2"/>
          </w:tcPr>
          <w:p>
            <w:pPr>
              <w:spacing w:after="0"/>
              <w:rPr>
                <w:rFonts w:ascii="Arial" w:cs="Arial" w:eastAsia="Arial" w:hAnsi="Arial"/>
                <w:sz w:val="14"/>
                <w:szCs w:val="14"/>
                <w:u w:val="single" w:color="auto"/>
                <w:color w:val="0000FF"/>
                <w:w w:val="95"/>
              </w:rPr>
            </w:pPr>
            <w:hyperlink w:anchor="page97">
              <w:r>
                <w:rPr>
                  <w:rFonts w:ascii="Arial" w:cs="Arial" w:eastAsia="Arial" w:hAnsi="Arial"/>
                  <w:sz w:val="14"/>
                  <w:szCs w:val="14"/>
                  <w:u w:val="single" w:color="auto"/>
                  <w:color w:val="0000FF"/>
                  <w:w w:val="95"/>
                </w:rPr>
                <w:t>15d-14(a), as adopted pursuant to Section 302 of the Sarbanes-Oxley Act of 2002.</w:t>
              </w:r>
            </w:hyperlink>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9"/>
        </w:trPr>
        <w:tc>
          <w:tcPr>
            <w:tcW w:w="1020" w:type="dxa"/>
            <w:vAlign w:val="bottom"/>
          </w:tcPr>
          <w:p>
            <w:pPr>
              <w:spacing w:after="0"/>
              <w:rPr>
                <w:sz w:val="20"/>
                <w:szCs w:val="20"/>
                <w:color w:val="auto"/>
              </w:rPr>
            </w:pPr>
            <w:r>
              <w:rPr>
                <w:rFonts w:ascii="Arial" w:cs="Arial" w:eastAsia="Arial" w:hAnsi="Arial"/>
                <w:sz w:val="14"/>
                <w:szCs w:val="14"/>
                <w:color w:val="auto"/>
              </w:rPr>
              <w:t>31.2</w:t>
            </w:r>
          </w:p>
        </w:tc>
        <w:tc>
          <w:tcPr>
            <w:tcW w:w="5180" w:type="dxa"/>
            <w:vAlign w:val="bottom"/>
            <w:gridSpan w:val="3"/>
          </w:tcPr>
          <w:p>
            <w:pPr>
              <w:spacing w:after="0"/>
              <w:rPr>
                <w:rFonts w:ascii="Arial" w:cs="Arial" w:eastAsia="Arial" w:hAnsi="Arial"/>
                <w:sz w:val="14"/>
                <w:szCs w:val="14"/>
                <w:color w:val="0000FF"/>
                <w:w w:val="94"/>
              </w:rPr>
            </w:pPr>
            <w:hyperlink w:anchor="page98">
              <w:r>
                <w:rPr>
                  <w:rFonts w:ascii="Arial" w:cs="Arial" w:eastAsia="Arial" w:hAnsi="Arial"/>
                  <w:sz w:val="14"/>
                  <w:szCs w:val="14"/>
                  <w:color w:val="0000FF"/>
                  <w:w w:val="94"/>
                </w:rPr>
                <w:t>Certification of Principal Financial Officer pursuant to Exchange Act Rules 13a-14(a) and</w:t>
              </w:r>
            </w:hyperlink>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880" w:type="dxa"/>
            <w:vAlign w:val="bottom"/>
            <w:tcBorders>
              <w:top w:val="single" w:sz="8" w:color="0000FF"/>
            </w:tcBorders>
          </w:tcPr>
          <w:p>
            <w:pPr>
              <w:spacing w:after="0"/>
              <w:rPr>
                <w:rFonts w:ascii="Arial" w:cs="Arial" w:eastAsia="Arial" w:hAnsi="Arial"/>
                <w:sz w:val="14"/>
                <w:szCs w:val="14"/>
                <w:u w:val="single" w:color="auto"/>
                <w:color w:val="0000FF"/>
                <w:w w:val="95"/>
              </w:rPr>
            </w:pPr>
            <w:hyperlink w:anchor="page98">
              <w:r>
                <w:rPr>
                  <w:rFonts w:ascii="Arial" w:cs="Arial" w:eastAsia="Arial" w:hAnsi="Arial"/>
                  <w:sz w:val="14"/>
                  <w:szCs w:val="14"/>
                  <w:u w:val="single" w:color="auto"/>
                  <w:color w:val="0000FF"/>
                  <w:w w:val="95"/>
                </w:rPr>
                <w:t>15d-14(a), as adopted pursuant to Section 302 of the Sarbanes-Oxley Act of 2002.</w:t>
              </w:r>
            </w:hyperlink>
          </w:p>
        </w:tc>
        <w:tc>
          <w:tcPr>
            <w:tcW w:w="3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20" w:top="123" w:right="59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32.1†</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101.INS</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101.SCH</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101.CAL</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101.DEF</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101.LAB</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101.PRE</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rFonts w:ascii="Arial" w:cs="Arial" w:eastAsia="Arial" w:hAnsi="Arial"/>
          <w:sz w:val="12"/>
          <w:szCs w:val="12"/>
          <w:u w:val="single" w:color="auto"/>
          <w:color w:val="0000FF"/>
        </w:rPr>
      </w:pPr>
      <w:hyperlink w:anchor="page99">
        <w:r>
          <w:rPr>
            <w:rFonts w:ascii="Arial" w:cs="Arial" w:eastAsia="Arial" w:hAnsi="Arial"/>
            <w:sz w:val="12"/>
            <w:szCs w:val="12"/>
            <w:u w:val="single" w:color="auto"/>
            <w:color w:val="0000FF"/>
          </w:rPr>
          <w:t>Certifications of Principal Executive Officer and Principal Financial Officer pursuant to 18</w:t>
        </w:r>
      </w:hyperlink>
    </w:p>
    <w:p>
      <w:pPr>
        <w:spacing w:after="0" w:line="14" w:lineRule="exact"/>
        <w:rPr>
          <w:sz w:val="20"/>
          <w:szCs w:val="20"/>
          <w:color w:val="auto"/>
        </w:rPr>
      </w:pPr>
    </w:p>
    <w:p>
      <w:pPr>
        <w:spacing w:after="0"/>
        <w:rPr>
          <w:rFonts w:ascii="Arial" w:cs="Arial" w:eastAsia="Arial" w:hAnsi="Arial"/>
          <w:sz w:val="12"/>
          <w:szCs w:val="12"/>
          <w:u w:val="single" w:color="auto"/>
          <w:color w:val="0000FF"/>
        </w:rPr>
      </w:pPr>
      <w:hyperlink w:anchor="page99">
        <w:r>
          <w:rPr>
            <w:rFonts w:ascii="Arial" w:cs="Arial" w:eastAsia="Arial" w:hAnsi="Arial"/>
            <w:sz w:val="12"/>
            <w:szCs w:val="12"/>
            <w:u w:val="single" w:color="auto"/>
            <w:color w:val="0000FF"/>
          </w:rPr>
          <w:t>U.S.C. Section 1350 as adopted pursuant to Section 906 of the Sarbanes-Oxley Act of 2002.</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Linkbase Document.</w:t>
      </w: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p>
      <w:pPr>
        <w:spacing w:after="0" w:line="179" w:lineRule="exact"/>
        <w:rPr>
          <w:sz w:val="20"/>
          <w:szCs w:val="20"/>
          <w:color w:val="auto"/>
        </w:rPr>
      </w:pPr>
    </w:p>
    <w:p>
      <w:pPr>
        <w:sectPr>
          <w:pgSz w:w="11900" w:h="16838" w:orient="portrait"/>
          <w:cols w:equalWidth="0" w:num="2">
            <w:col w:w="540" w:space="500"/>
            <w:col w:w="9940"/>
          </w:cols>
          <w:pgMar w:left="320" w:top="123" w:right="599" w:bottom="1440" w:gutter="0" w:footer="0" w:header="0"/>
          <w:type w:val="continuous"/>
        </w:sect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44" w:lineRule="exact"/>
        <w:rPr>
          <w:sz w:val="20"/>
          <w:szCs w:val="20"/>
          <w:color w:val="auto"/>
        </w:rPr>
      </w:pPr>
    </w:p>
    <w:p>
      <w:pPr>
        <w:ind w:firstLine="2"/>
        <w:spacing w:after="0" w:line="237" w:lineRule="auto"/>
        <w:tabs>
          <w:tab w:leader="none" w:pos="101"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4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980"/>
          </w:cols>
          <w:pgMar w:left="320" w:top="123" w:right="599" w:bottom="1440" w:gutter="0" w:footer="0" w:header="0"/>
          <w:type w:val="continuous"/>
        </w:sectPr>
      </w:pPr>
    </w:p>
    <w:bookmarkStart w:id="86" w:name="page87"/>
    <w:bookmarkEnd w:id="8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SIGNATURES</w:t>
      </w:r>
    </w:p>
    <w:p>
      <w:pPr>
        <w:spacing w:after="0" w:line="215" w:lineRule="exact"/>
        <w:rPr>
          <w:sz w:val="20"/>
          <w:szCs w:val="20"/>
          <w:color w:val="auto"/>
        </w:rPr>
      </w:pPr>
    </w:p>
    <w:p>
      <w:pPr>
        <w:ind w:firstLine="609"/>
        <w:spacing w:after="0" w:line="27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DROPBOX, INC.</w:t>
      </w:r>
    </w:p>
    <w:p>
      <w:pPr>
        <w:spacing w:after="0" w:line="367" w:lineRule="exact"/>
        <w:rPr>
          <w:sz w:val="20"/>
          <w:szCs w:val="20"/>
          <w:color w:val="auto"/>
        </w:rPr>
      </w:pPr>
    </w:p>
    <w:p>
      <w:pPr>
        <w:ind w:left="20"/>
        <w:spacing w:after="0"/>
        <w:tabs>
          <w:tab w:leader="none" w:pos="2720" w:val="left"/>
          <w:tab w:leader="none" w:pos="37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Andrew W. Houston</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21590</wp:posOffset>
            </wp:positionV>
            <wp:extent cx="47790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79010" cy="8255"/>
                    </a:xfrm>
                    <a:prstGeom prst="rect">
                      <a:avLst/>
                    </a:prstGeom>
                    <a:noFill/>
                  </pic:spPr>
                </pic:pic>
              </a:graphicData>
            </a:graphic>
          </wp:anchor>
        </w:drawing>
      </w:r>
    </w:p>
    <w:p>
      <w:pPr>
        <w:spacing w:after="0" w:line="39"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Andrew W. Houston</w:t>
      </w:r>
    </w:p>
    <w:p>
      <w:pPr>
        <w:spacing w:after="0" w:line="58"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Chief Executive Officer</w:t>
      </w:r>
    </w:p>
    <w:p>
      <w:pPr>
        <w:spacing w:after="0" w:line="58" w:lineRule="exact"/>
        <w:rPr>
          <w:sz w:val="20"/>
          <w:szCs w:val="20"/>
          <w:color w:val="auto"/>
        </w:rPr>
      </w:pPr>
    </w:p>
    <w:p>
      <w:pPr>
        <w:ind w:left="3740"/>
        <w:spacing w:after="0"/>
        <w:rPr>
          <w:sz w:val="20"/>
          <w:szCs w:val="20"/>
          <w:color w:val="auto"/>
        </w:rPr>
      </w:pPr>
      <w:r>
        <w:rPr>
          <w:rFonts w:ascii="Arial" w:cs="Arial" w:eastAsia="Arial" w:hAnsi="Arial"/>
          <w:sz w:val="17"/>
          <w:szCs w:val="17"/>
          <w:i w:val="1"/>
          <w:iCs w:val="1"/>
          <w:color w:val="auto"/>
        </w:rPr>
        <w:t>(Principal Executive Officer)</w:t>
      </w:r>
    </w:p>
    <w:p>
      <w:pPr>
        <w:spacing w:after="0" w:line="388" w:lineRule="exact"/>
        <w:rPr>
          <w:sz w:val="20"/>
          <w:szCs w:val="20"/>
          <w:color w:val="auto"/>
        </w:rPr>
      </w:pPr>
    </w:p>
    <w:p>
      <w:pPr>
        <w:ind w:left="20"/>
        <w:spacing w:after="0"/>
        <w:tabs>
          <w:tab w:leader="none" w:pos="2720" w:val="left"/>
          <w:tab w:leader="none" w:pos="37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Ajay V. Vashee</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21590</wp:posOffset>
            </wp:positionV>
            <wp:extent cx="47790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79010" cy="8255"/>
                    </a:xfrm>
                    <a:prstGeom prst="rect">
                      <a:avLst/>
                    </a:prstGeom>
                    <a:noFill/>
                  </pic:spPr>
                </pic:pic>
              </a:graphicData>
            </a:graphic>
          </wp:anchor>
        </w:drawing>
      </w:r>
    </w:p>
    <w:p>
      <w:pPr>
        <w:spacing w:after="0" w:line="39"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Ajay V. Vashee</w:t>
      </w:r>
    </w:p>
    <w:p>
      <w:pPr>
        <w:spacing w:after="0" w:line="58"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Chief Financial Officer</w:t>
      </w:r>
    </w:p>
    <w:p>
      <w:pPr>
        <w:spacing w:after="0" w:line="58" w:lineRule="exact"/>
        <w:rPr>
          <w:sz w:val="20"/>
          <w:szCs w:val="20"/>
          <w:color w:val="auto"/>
        </w:rPr>
      </w:pPr>
    </w:p>
    <w:p>
      <w:pPr>
        <w:ind w:left="3740"/>
        <w:spacing w:after="0"/>
        <w:rPr>
          <w:sz w:val="20"/>
          <w:szCs w:val="20"/>
          <w:color w:val="auto"/>
        </w:rPr>
      </w:pPr>
      <w:r>
        <w:rPr>
          <w:rFonts w:ascii="Arial" w:cs="Arial" w:eastAsia="Arial" w:hAnsi="Arial"/>
          <w:sz w:val="17"/>
          <w:szCs w:val="17"/>
          <w:i w:val="1"/>
          <w:iCs w:val="1"/>
          <w:color w:val="auto"/>
        </w:rPr>
        <w:t>(Principal Financial Officer)</w:t>
      </w:r>
    </w:p>
    <w:p>
      <w:pPr>
        <w:spacing w:after="0" w:line="388" w:lineRule="exact"/>
        <w:rPr>
          <w:sz w:val="20"/>
          <w:szCs w:val="20"/>
          <w:color w:val="auto"/>
        </w:rPr>
      </w:pPr>
    </w:p>
    <w:p>
      <w:pPr>
        <w:ind w:left="20"/>
        <w:spacing w:after="0"/>
        <w:tabs>
          <w:tab w:leader="none" w:pos="2720" w:val="left"/>
          <w:tab w:leader="none" w:pos="37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Timothy J. Regan</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21590</wp:posOffset>
            </wp:positionV>
            <wp:extent cx="47790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79010" cy="8255"/>
                    </a:xfrm>
                    <a:prstGeom prst="rect">
                      <a:avLst/>
                    </a:prstGeom>
                    <a:noFill/>
                  </pic:spPr>
                </pic:pic>
              </a:graphicData>
            </a:graphic>
          </wp:anchor>
        </w:drawing>
      </w:r>
    </w:p>
    <w:p>
      <w:pPr>
        <w:spacing w:after="0" w:line="39"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Timothy J. Regan</w:t>
      </w:r>
    </w:p>
    <w:p>
      <w:pPr>
        <w:spacing w:after="0" w:line="58"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Chief Accounting Officer</w:t>
      </w:r>
    </w:p>
    <w:p>
      <w:pPr>
        <w:spacing w:after="0" w:line="58" w:lineRule="exact"/>
        <w:rPr>
          <w:sz w:val="20"/>
          <w:szCs w:val="20"/>
          <w:color w:val="auto"/>
        </w:rPr>
      </w:pPr>
    </w:p>
    <w:p>
      <w:pPr>
        <w:ind w:left="3740"/>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140"/>
          </w:cols>
          <w:pgMar w:left="320" w:top="123" w:right="439" w:bottom="1440" w:gutter="0" w:footer="0" w:header="0"/>
        </w:sectPr>
      </w:pPr>
    </w:p>
    <w:bookmarkStart w:id="87" w:name="page88"/>
    <w:bookmarkEnd w:id="87"/>
    <w:p>
      <w:pPr>
        <w:jc w:val="right"/>
        <w:spacing w:after="0"/>
        <w:rPr>
          <w:sz w:val="20"/>
          <w:szCs w:val="20"/>
          <w:color w:val="auto"/>
        </w:rPr>
      </w:pPr>
      <w:r>
        <w:rPr>
          <w:rFonts w:ascii="Arial" w:cs="Arial" w:eastAsia="Arial" w:hAnsi="Arial"/>
          <w:sz w:val="19"/>
          <w:szCs w:val="19"/>
          <w:b w:val="1"/>
          <w:bCs w:val="1"/>
          <w:color w:val="auto"/>
        </w:rPr>
        <w:t>Exhibit 4.1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215" w:lineRule="exact"/>
        <w:rPr>
          <w:sz w:val="20"/>
          <w:szCs w:val="20"/>
          <w:color w:val="auto"/>
        </w:rPr>
      </w:pPr>
    </w:p>
    <w:p>
      <w:pPr>
        <w:jc w:val="both"/>
        <w:ind w:firstLine="609"/>
        <w:spacing w:after="0" w:line="255" w:lineRule="auto"/>
        <w:rPr>
          <w:sz w:val="20"/>
          <w:szCs w:val="20"/>
          <w:color w:val="auto"/>
        </w:rPr>
      </w:pPr>
      <w:r>
        <w:rPr>
          <w:rFonts w:ascii="Arial" w:cs="Arial" w:eastAsia="Arial" w:hAnsi="Arial"/>
          <w:sz w:val="17"/>
          <w:szCs w:val="17"/>
          <w:color w:val="auto"/>
        </w:rPr>
        <w:t>The following is a summary of information concerning capital stock of Dropbox, Inc. (“us,” “our,” “we” or the “Company”) and certain provisions of our amended and restated certificate of incorporation and amended and restated bylaws currently in effect. This summary does not purport to be complete and is qualified in its entirety by the provisions of our amended and restated certificate of incorporation and amended and restated bylaws, as well as to the applicable provisions of the Delaware General Corporation Law (the “DGCL”). We encourage you to read our certificate of incorporation, bylaws and the applicable portions of the DGCL carefully.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15" w:lineRule="exact"/>
        <w:rPr>
          <w:sz w:val="20"/>
          <w:szCs w:val="20"/>
          <w:color w:val="auto"/>
        </w:rPr>
      </w:pPr>
    </w:p>
    <w:p>
      <w:pPr>
        <w:jc w:val="both"/>
        <w:ind w:firstLine="609"/>
        <w:spacing w:after="0" w:line="272" w:lineRule="auto"/>
        <w:rPr>
          <w:sz w:val="20"/>
          <w:szCs w:val="20"/>
          <w:color w:val="auto"/>
        </w:rPr>
      </w:pPr>
      <w:r>
        <w:rPr>
          <w:rFonts w:ascii="Arial" w:cs="Arial" w:eastAsia="Arial" w:hAnsi="Arial"/>
          <w:sz w:val="17"/>
          <w:szCs w:val="17"/>
          <w:color w:val="auto"/>
        </w:rPr>
        <w:t>Our amended and restated certificate of incorporation authorizes preferred stock and three classes of common stock: Class A common stock, Class B common stock and Class C common stock. The rights of the three classes of common stock are identical, except as described below.</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authorized capital stock consists of 3,915,000,000 shares, $0.00001 par value per share, of which:</w:t>
      </w:r>
    </w:p>
    <w:p>
      <w:pPr>
        <w:spacing w:after="0" w:line="211" w:lineRule="exact"/>
        <w:rPr>
          <w:sz w:val="20"/>
          <w:szCs w:val="20"/>
          <w:color w:val="auto"/>
        </w:rPr>
      </w:pPr>
    </w:p>
    <w:p>
      <w:pPr>
        <w:ind w:left="620" w:hanging="314"/>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2,400,000,000 shares are designated as Class A common stock;</w:t>
      </w:r>
    </w:p>
    <w:p>
      <w:pPr>
        <w:spacing w:after="0" w:line="210" w:lineRule="exact"/>
        <w:rPr>
          <w:rFonts w:ascii="Arial" w:cs="Arial" w:eastAsia="Arial" w:hAnsi="Arial"/>
          <w:sz w:val="17"/>
          <w:szCs w:val="17"/>
          <w:color w:val="auto"/>
        </w:rPr>
      </w:pPr>
    </w:p>
    <w:p>
      <w:pPr>
        <w:ind w:left="620" w:hanging="314"/>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475,000,000 shares are designated as Class B common stock;</w:t>
      </w:r>
    </w:p>
    <w:p>
      <w:pPr>
        <w:spacing w:after="0" w:line="210" w:lineRule="exact"/>
        <w:rPr>
          <w:rFonts w:ascii="Arial" w:cs="Arial" w:eastAsia="Arial" w:hAnsi="Arial"/>
          <w:sz w:val="17"/>
          <w:szCs w:val="17"/>
          <w:color w:val="auto"/>
        </w:rPr>
      </w:pPr>
    </w:p>
    <w:p>
      <w:pPr>
        <w:ind w:left="620" w:hanging="314"/>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800,000,000 shares are designated as Class C common stock; and</w:t>
      </w:r>
    </w:p>
    <w:p>
      <w:pPr>
        <w:spacing w:after="0" w:line="210" w:lineRule="exact"/>
        <w:rPr>
          <w:rFonts w:ascii="Arial" w:cs="Arial" w:eastAsia="Arial" w:hAnsi="Arial"/>
          <w:sz w:val="17"/>
          <w:szCs w:val="17"/>
          <w:color w:val="auto"/>
        </w:rPr>
      </w:pPr>
    </w:p>
    <w:p>
      <w:pPr>
        <w:ind w:left="620" w:hanging="314"/>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240,000,000 shares are designated as preferred stock.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11" w:lineRule="exact"/>
        <w:rPr>
          <w:sz w:val="20"/>
          <w:szCs w:val="20"/>
          <w:color w:val="auto"/>
        </w:rPr>
      </w:pPr>
    </w:p>
    <w:p>
      <w:pPr>
        <w:jc w:val="both"/>
        <w:ind w:firstLine="609"/>
        <w:spacing w:after="0" w:line="294" w:lineRule="auto"/>
        <w:rPr>
          <w:sz w:val="20"/>
          <w:szCs w:val="20"/>
          <w:color w:val="auto"/>
        </w:rPr>
      </w:pPr>
      <w:r>
        <w:rPr>
          <w:rFonts w:ascii="Arial" w:cs="Arial" w:eastAsia="Arial" w:hAnsi="Arial"/>
          <w:sz w:val="15"/>
          <w:szCs w:val="15"/>
          <w:color w:val="auto"/>
        </w:rPr>
        <w:t>Holders of our Class A common stock are entitled to one vote for each share held on all matters submitted to a vote of stockholders, holders of our Class B common stock are entitled to ten votes for each share held, and holders of our Class C common stock are not entitled to vote on any matter that is submitted to a vote of stockholders, except as otherwise required by law. The holders of our Class A common stock and Class B common stock vote together as a single class, unless otherwise required by law. Under our amended and restated certificate of incorporation, approval of the holders of a majority of the Class B common stock is required to increase the number of authorized shares of our Class B common stock. In addition, Delaware law could require either holders of our Class A common stock, our Class B common stock, or our Class C common stock to vote separately as a single class in the following circumstances:</w:t>
      </w:r>
    </w:p>
    <w:p>
      <w:pPr>
        <w:spacing w:after="0" w:line="154" w:lineRule="exact"/>
        <w:rPr>
          <w:sz w:val="20"/>
          <w:szCs w:val="20"/>
          <w:color w:val="auto"/>
        </w:rPr>
      </w:pPr>
    </w:p>
    <w:p>
      <w:pPr>
        <w:ind w:left="620" w:hanging="314"/>
        <w:spacing w:after="0" w:line="272"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166" w:lineRule="exact"/>
        <w:rPr>
          <w:rFonts w:ascii="Arial" w:cs="Arial" w:eastAsia="Arial" w:hAnsi="Arial"/>
          <w:sz w:val="17"/>
          <w:szCs w:val="17"/>
          <w:color w:val="auto"/>
        </w:rPr>
      </w:pPr>
    </w:p>
    <w:p>
      <w:pPr>
        <w:jc w:val="both"/>
        <w:ind w:left="620" w:hanging="314"/>
        <w:spacing w:after="0" w:line="261"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86" w:lineRule="exact"/>
        <w:rPr>
          <w:sz w:val="20"/>
          <w:szCs w:val="20"/>
          <w:color w:val="auto"/>
        </w:rPr>
      </w:pPr>
    </w:p>
    <w:p>
      <w:pPr>
        <w:ind w:firstLine="609"/>
        <w:spacing w:after="0" w:line="272" w:lineRule="auto"/>
        <w:rPr>
          <w:sz w:val="20"/>
          <w:szCs w:val="20"/>
          <w:color w:val="auto"/>
        </w:rPr>
      </w:pPr>
      <w:r>
        <w:rPr>
          <w:rFonts w:ascii="Arial" w:cs="Arial" w:eastAsia="Arial" w:hAnsi="Arial"/>
          <w:sz w:val="17"/>
          <w:szCs w:val="17"/>
          <w:color w:val="auto"/>
        </w:rPr>
        <w:t>Until the Final Conversion Date (as defined in the amended and restated certificate of incorporation), holders of our Class B common stock have the right to vote as a separate class to:</w:t>
      </w:r>
    </w:p>
    <w:p>
      <w:pPr>
        <w:spacing w:after="0" w:line="166" w:lineRule="exact"/>
        <w:rPr>
          <w:sz w:val="20"/>
          <w:szCs w:val="20"/>
          <w:color w:val="auto"/>
        </w:rPr>
      </w:pPr>
    </w:p>
    <w:p>
      <w:pPr>
        <w:jc w:val="both"/>
        <w:ind w:left="620" w:hanging="314"/>
        <w:spacing w:after="0" w:line="261"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amend or modify any provision of the amended and restated certificate of incorporation inconsistent with, or otherwise alter, any provision of amended and restated certificate of incorporation to modify the voting, conversion or other rights, powers, preferences, privileges or restrictions of the Class B common stock;</w:t>
      </w:r>
    </w:p>
    <w:p>
      <w:pPr>
        <w:spacing w:after="0" w:line="174" w:lineRule="exact"/>
        <w:rPr>
          <w:rFonts w:ascii="Arial" w:cs="Arial" w:eastAsia="Arial" w:hAnsi="Arial"/>
          <w:sz w:val="17"/>
          <w:szCs w:val="17"/>
          <w:color w:val="auto"/>
        </w:rPr>
      </w:pPr>
    </w:p>
    <w:p>
      <w:pPr>
        <w:ind w:left="620" w:hanging="314"/>
        <w:spacing w:after="0" w:line="272"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reclassify any outstanding shares of Class A common stock or Class C common stock into shares having rights as to dividends or liquidation that are senior to the Class B common stock or, in the case of Class A common stock, the right</w:t>
      </w:r>
    </w:p>
    <w:p>
      <w:pPr>
        <w:sectPr>
          <w:pgSz w:w="11900" w:h="16838" w:orient="portrait"/>
          <w:cols w:equalWidth="0" w:num="1">
            <w:col w:w="11240"/>
          </w:cols>
          <w:pgMar w:left="320" w:top="525" w:right="339" w:bottom="1440" w:gutter="0" w:footer="0" w:header="0"/>
        </w:sectPr>
      </w:pPr>
    </w:p>
    <w:bookmarkStart w:id="88" w:name="page89"/>
    <w:bookmarkEnd w:id="88"/>
    <w:p>
      <w:pPr>
        <w:ind w:left="620"/>
        <w:spacing w:after="0" w:line="272" w:lineRule="auto"/>
        <w:rPr>
          <w:sz w:val="20"/>
          <w:szCs w:val="20"/>
          <w:color w:val="auto"/>
        </w:rPr>
      </w:pPr>
      <w:r>
        <w:rPr>
          <w:rFonts w:ascii="Arial" w:cs="Arial" w:eastAsia="Arial" w:hAnsi="Arial"/>
          <w:sz w:val="17"/>
          <w:szCs w:val="17"/>
          <w:color w:val="auto"/>
        </w:rPr>
        <w:t>to have more than one vote for each share thereof and, in the case of Class C common stock, the right to have any vote for any share thereof, except as required by law;</w:t>
      </w:r>
    </w:p>
    <w:p>
      <w:pPr>
        <w:spacing w:after="0" w:line="293" w:lineRule="exact"/>
        <w:rPr>
          <w:sz w:val="20"/>
          <w:szCs w:val="20"/>
          <w:color w:val="auto"/>
        </w:rPr>
      </w:pPr>
    </w:p>
    <w:p>
      <w:pPr>
        <w:ind w:left="620" w:hanging="314"/>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subject to certain exceptions, issue any shares of Class B common stock;</w:t>
      </w:r>
    </w:p>
    <w:p>
      <w:pPr>
        <w:spacing w:after="0" w:line="337" w:lineRule="exact"/>
        <w:rPr>
          <w:rFonts w:ascii="Arial" w:cs="Arial" w:eastAsia="Arial" w:hAnsi="Arial"/>
          <w:sz w:val="17"/>
          <w:szCs w:val="17"/>
          <w:color w:val="auto"/>
        </w:rPr>
      </w:pPr>
    </w:p>
    <w:p>
      <w:pPr>
        <w:ind w:left="620" w:hanging="314"/>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authorize, or issue any shares of, any class or series of capital stock of the Company having the right to more than one vote for each share thereof; or</w:t>
      </w:r>
    </w:p>
    <w:p>
      <w:pPr>
        <w:spacing w:after="0" w:line="349" w:lineRule="exact"/>
        <w:rPr>
          <w:rFonts w:ascii="Arial" w:cs="Arial" w:eastAsia="Arial" w:hAnsi="Arial"/>
          <w:sz w:val="16"/>
          <w:szCs w:val="16"/>
          <w:color w:val="auto"/>
        </w:rPr>
      </w:pPr>
    </w:p>
    <w:p>
      <w:pPr>
        <w:ind w:left="620" w:hanging="314"/>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consummate a Liquidation Event (as defined in the amended and restated certificate of incorporation).</w:t>
      </w:r>
    </w:p>
    <w:p>
      <w:pPr>
        <w:spacing w:after="0" w:line="122" w:lineRule="exact"/>
        <w:rPr>
          <w:sz w:val="20"/>
          <w:szCs w:val="20"/>
          <w:color w:val="auto"/>
        </w:rPr>
      </w:pPr>
    </w:p>
    <w:p>
      <w:pPr>
        <w:jc w:val="both"/>
        <w:ind w:firstLine="609"/>
        <w:spacing w:after="0" w:line="27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from and after the Voting Threshold Date (as defined in the amended and restated certificate of incorporation), we will have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 Until the Voting Threshold Date, our directors will be elected annually for one-year terms. Stockholders do not have the ability to cumulate votes for the election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11" w:lineRule="exact"/>
        <w:rPr>
          <w:sz w:val="20"/>
          <w:szCs w:val="20"/>
          <w:color w:val="auto"/>
        </w:rPr>
      </w:pPr>
    </w:p>
    <w:p>
      <w:pPr>
        <w:jc w:val="both"/>
        <w:ind w:firstLine="609"/>
        <w:spacing w:after="0" w:line="261"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Preemptive or Similar Rights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common stock is not entitled to preemptive rights, and is not subject to conversion, redemption, or sinking fund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11" w:lineRule="exact"/>
        <w:rPr>
          <w:sz w:val="20"/>
          <w:szCs w:val="20"/>
          <w:color w:val="auto"/>
        </w:rPr>
      </w:pPr>
    </w:p>
    <w:p>
      <w:pPr>
        <w:jc w:val="both"/>
        <w:ind w:firstLine="609"/>
        <w:spacing w:after="0" w:line="284" w:lineRule="auto"/>
        <w:rPr>
          <w:sz w:val="20"/>
          <w:szCs w:val="20"/>
          <w:color w:val="auto"/>
        </w:rPr>
      </w:pPr>
      <w:r>
        <w:rPr>
          <w:rFonts w:ascii="Arial" w:cs="Arial" w:eastAsia="Arial" w:hAnsi="Arial"/>
          <w:sz w:val="16"/>
          <w:szCs w:val="16"/>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of Class B Common Stock</w:t>
      </w:r>
    </w:p>
    <w:p>
      <w:pPr>
        <w:spacing w:after="0" w:line="211" w:lineRule="exact"/>
        <w:rPr>
          <w:sz w:val="20"/>
          <w:szCs w:val="20"/>
          <w:color w:val="auto"/>
        </w:rPr>
      </w:pPr>
    </w:p>
    <w:p>
      <w:pPr>
        <w:jc w:val="both"/>
        <w:ind w:firstLine="609"/>
        <w:spacing w:after="0" w:line="288" w:lineRule="auto"/>
        <w:rPr>
          <w:sz w:val="20"/>
          <w:szCs w:val="20"/>
          <w:color w:val="auto"/>
        </w:rPr>
      </w:pPr>
      <w:r>
        <w:rPr>
          <w:rFonts w:ascii="Arial" w:cs="Arial" w:eastAsia="Arial" w:hAnsi="Arial"/>
          <w:sz w:val="15"/>
          <w:szCs w:val="15"/>
          <w:color w:val="auto"/>
        </w:rPr>
        <w:t>Each share of Class B common stock is convertible at any time at the option of the holder into one share of Class A common stock. Shares of Class B common stock will automatically convert into shares of Class A common stock upon sale or transfer except for certain transfers described in our amended and restated certificate of incorporation, including estate planning transfers where sole dispositive power and exclusive voting control with respect to the shares of Class B common stock are retained by the transferring holder and transfers between our co-founders. In addition, each outstanding share of Class B common stock held by a stockholder who is a natural person, or held by the permitted entities and permitted transferees of such natural person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and permanent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w:t>
      </w:r>
    </w:p>
    <w:p>
      <w:pPr>
        <w:spacing w:after="0" w:line="160" w:lineRule="exact"/>
        <w:rPr>
          <w:sz w:val="20"/>
          <w:szCs w:val="20"/>
          <w:color w:val="auto"/>
        </w:rPr>
      </w:pPr>
    </w:p>
    <w:p>
      <w:pPr>
        <w:jc w:val="both"/>
        <w:ind w:firstLine="609"/>
        <w:spacing w:after="0" w:line="257" w:lineRule="auto"/>
        <w:rPr>
          <w:sz w:val="20"/>
          <w:szCs w:val="20"/>
          <w:color w:val="auto"/>
        </w:rPr>
      </w:pPr>
      <w:r>
        <w:rPr>
          <w:rFonts w:ascii="Arial" w:cs="Arial" w:eastAsia="Arial" w:hAnsi="Arial"/>
          <w:sz w:val="17"/>
          <w:szCs w:val="17"/>
          <w:color w:val="auto"/>
        </w:rPr>
        <w:t>Each share of Class B common stock will convert automatically into one share of Class A common stock upon (i) the date specified by affirmative vote of the holders of two-thirds of the then outstanding shares of Class B common stock, (ii) the date on which the outstanding shares of Class B common stock represent less than five percent of the aggregate number of shares of the then outstanding Class A common stock and Class B common stock, or (iii) nine months after the death or total disability</w:t>
      </w:r>
    </w:p>
    <w:p>
      <w:pPr>
        <w:sectPr>
          <w:pgSz w:w="11900" w:h="16838" w:orient="portrait"/>
          <w:cols w:equalWidth="0" w:num="1">
            <w:col w:w="11240"/>
          </w:cols>
          <w:pgMar w:left="320" w:top="533" w:right="339" w:bottom="1440" w:gutter="0" w:footer="0" w:header="0"/>
        </w:sectPr>
      </w:pPr>
    </w:p>
    <w:bookmarkStart w:id="89" w:name="page90"/>
    <w:bookmarkEnd w:id="89"/>
    <w:p>
      <w:pPr>
        <w:jc w:val="both"/>
        <w:spacing w:after="0" w:line="272" w:lineRule="auto"/>
        <w:rPr>
          <w:sz w:val="20"/>
          <w:szCs w:val="20"/>
          <w:color w:val="auto"/>
        </w:rPr>
      </w:pPr>
      <w:r>
        <w:rPr>
          <w:rFonts w:ascii="Arial" w:cs="Arial" w:eastAsia="Arial" w:hAnsi="Arial"/>
          <w:sz w:val="17"/>
          <w:szCs w:val="17"/>
          <w:color w:val="auto"/>
        </w:rPr>
        <w:t>of the last to die or become disabled of our co-founders, or such later date not to exceed a total period of 18 months after such death or disability as may be approved by a majority of our independent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of Class C Common Stock</w:t>
      </w:r>
    </w:p>
    <w:p>
      <w:pPr>
        <w:spacing w:after="0" w:line="211" w:lineRule="exact"/>
        <w:rPr>
          <w:sz w:val="20"/>
          <w:szCs w:val="20"/>
          <w:color w:val="auto"/>
        </w:rPr>
      </w:pPr>
    </w:p>
    <w:p>
      <w:pPr>
        <w:jc w:val="both"/>
        <w:ind w:firstLine="609"/>
        <w:spacing w:after="0" w:line="261" w:lineRule="auto"/>
        <w:rPr>
          <w:sz w:val="20"/>
          <w:szCs w:val="20"/>
          <w:color w:val="auto"/>
        </w:rPr>
      </w:pPr>
      <w:r>
        <w:rPr>
          <w:rFonts w:ascii="Arial" w:cs="Arial" w:eastAsia="Arial" w:hAnsi="Arial"/>
          <w:sz w:val="17"/>
          <w:szCs w:val="17"/>
          <w:color w:val="auto"/>
        </w:rPr>
        <w:t>Shares of Class C common stock will convert automatically into Class A common stock, on a share-for-share basis, following the conversion of all outstanding shares of Class B common stock into shares of Class A common stock, on the date or time specified by the holders of a majority of the outstanding shares of Class A common stock, voting as a separate class.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15" w:lineRule="exact"/>
        <w:rPr>
          <w:sz w:val="20"/>
          <w:szCs w:val="20"/>
          <w:color w:val="auto"/>
        </w:rPr>
      </w:pPr>
    </w:p>
    <w:p>
      <w:pPr>
        <w:jc w:val="both"/>
        <w:ind w:firstLine="609"/>
        <w:spacing w:after="0" w:line="270" w:lineRule="auto"/>
        <w:rPr>
          <w:sz w:val="20"/>
          <w:szCs w:val="20"/>
          <w:color w:val="auto"/>
        </w:rPr>
      </w:pPr>
      <w:r>
        <w:rPr>
          <w:rFonts w:ascii="Arial" w:cs="Arial" w:eastAsia="Arial" w:hAnsi="Arial"/>
          <w:sz w:val="16"/>
          <w:szCs w:val="16"/>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Certificate of Incorporation and Bylaws</w:t>
      </w:r>
    </w:p>
    <w:p>
      <w:pPr>
        <w:spacing w:after="0" w:line="215" w:lineRule="exact"/>
        <w:rPr>
          <w:sz w:val="20"/>
          <w:szCs w:val="20"/>
          <w:color w:val="auto"/>
        </w:rPr>
      </w:pPr>
    </w:p>
    <w:p>
      <w:pPr>
        <w:jc w:val="both"/>
        <w:ind w:firstLine="609"/>
        <w:spacing w:after="0" w:line="255" w:lineRule="auto"/>
        <w:rPr>
          <w:sz w:val="20"/>
          <w:szCs w:val="20"/>
          <w:color w:val="auto"/>
        </w:rPr>
      </w:pPr>
      <w:r>
        <w:rPr>
          <w:rFonts w:ascii="Arial" w:cs="Arial" w:eastAsia="Arial" w:hAnsi="Arial"/>
          <w:sz w:val="17"/>
          <w:szCs w:val="17"/>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Multi-Class Stock</w:t>
      </w:r>
    </w:p>
    <w:p>
      <w:pPr>
        <w:spacing w:after="0" w:line="211" w:lineRule="exact"/>
        <w:rPr>
          <w:sz w:val="20"/>
          <w:szCs w:val="20"/>
          <w:color w:val="auto"/>
        </w:rPr>
      </w:pPr>
    </w:p>
    <w:p>
      <w:pPr>
        <w:jc w:val="both"/>
        <w:ind w:firstLine="609"/>
        <w:spacing w:after="0" w:line="284" w:lineRule="auto"/>
        <w:rPr>
          <w:sz w:val="20"/>
          <w:szCs w:val="20"/>
          <w:color w:val="auto"/>
        </w:rPr>
      </w:pPr>
      <w:r>
        <w:rPr>
          <w:rFonts w:ascii="Arial" w:cs="Arial" w:eastAsia="Arial" w:hAnsi="Arial"/>
          <w:sz w:val="16"/>
          <w:szCs w:val="16"/>
          <w:color w:val="auto"/>
        </w:rPr>
        <w:t>As discussed above, our amended and restated certificate of incorporation provides for a multi-class common stock structure, which provides holders of Class B common stock, which includes our executive officers, employees, directors, and their affiliates, with significant influence over matters requiring stockholder approval, including the election of directors and significant corporate transactions, such as a merger or other sale of our company or its assets.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Separate Class B Vote for Certain Transactions</w:t>
      </w:r>
    </w:p>
    <w:p>
      <w:pPr>
        <w:spacing w:after="0" w:line="211" w:lineRule="exact"/>
        <w:rPr>
          <w:sz w:val="20"/>
          <w:szCs w:val="20"/>
          <w:color w:val="auto"/>
        </w:rPr>
      </w:pPr>
    </w:p>
    <w:p>
      <w:pPr>
        <w:jc w:val="both"/>
        <w:ind w:firstLine="609"/>
        <w:spacing w:after="0" w:line="257" w:lineRule="auto"/>
        <w:rPr>
          <w:sz w:val="20"/>
          <w:szCs w:val="20"/>
          <w:color w:val="auto"/>
        </w:rPr>
      </w:pPr>
      <w:r>
        <w:rPr>
          <w:rFonts w:ascii="Arial" w:cs="Arial" w:eastAsia="Arial" w:hAnsi="Arial"/>
          <w:sz w:val="17"/>
          <w:szCs w:val="17"/>
          <w:color w:val="auto"/>
        </w:rPr>
        <w:t>Until the Final Conversion Date, our Class B common stock will have the right to vote as a separate class on amendments to our amended and restated certificate of incorporation that affect the rights of our Class B common stock, certain reclassifications and changes in voting rights of our Class A common stock or Class C common stock, issuances of Class B common stock other than pursuant to existing rights and equity awards, authorization of stock with more than one vote per share and liquidation events.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of Director Vacancies</w:t>
      </w:r>
    </w:p>
    <w:p>
      <w:pPr>
        <w:spacing w:after="0" w:line="211" w:lineRule="exact"/>
        <w:rPr>
          <w:sz w:val="20"/>
          <w:szCs w:val="20"/>
          <w:color w:val="auto"/>
        </w:rPr>
      </w:pPr>
    </w:p>
    <w:p>
      <w:pPr>
        <w:jc w:val="both"/>
        <w:ind w:firstLine="609"/>
        <w:spacing w:after="0" w:line="255" w:lineRule="auto"/>
        <w:rPr>
          <w:sz w:val="20"/>
          <w:szCs w:val="20"/>
          <w:color w:val="auto"/>
        </w:rPr>
      </w:pPr>
      <w:r>
        <w:rPr>
          <w:rFonts w:ascii="Arial" w:cs="Arial" w:eastAsia="Arial" w:hAnsi="Arial"/>
          <w:sz w:val="17"/>
          <w:szCs w:val="17"/>
          <w:color w:val="auto"/>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 of Directors</w:t>
      </w:r>
    </w:p>
    <w:p>
      <w:pPr>
        <w:spacing w:after="0" w:line="211" w:lineRule="exact"/>
        <w:rPr>
          <w:sz w:val="20"/>
          <w:szCs w:val="20"/>
          <w:color w:val="auto"/>
        </w:rPr>
      </w:pPr>
    </w:p>
    <w:p>
      <w:pPr>
        <w:jc w:val="both"/>
        <w:ind w:firstLine="609"/>
        <w:spacing w:after="0" w:line="261"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from and after the time that the Class B common stock no longer represents a majority of the combined voting power of our Class A common stock and Class B common stock, or the Voting Threshold Date, our Board of Directors will be classified into three classes of directors.</w:t>
      </w:r>
    </w:p>
    <w:p>
      <w:pPr>
        <w:sectPr>
          <w:pgSz w:w="11900" w:h="16838" w:orient="portrait"/>
          <w:cols w:equalWidth="0" w:num="1">
            <w:col w:w="11240"/>
          </w:cols>
          <w:pgMar w:left="320" w:top="533" w:right="339" w:bottom="1440" w:gutter="0" w:footer="0" w:header="0"/>
        </w:sectPr>
      </w:pPr>
    </w:p>
    <w:bookmarkStart w:id="90" w:name="page91"/>
    <w:bookmarkEnd w:id="90"/>
    <w:p>
      <w:pPr>
        <w:jc w:val="both"/>
        <w:spacing w:after="0" w:line="272" w:lineRule="auto"/>
        <w:rPr>
          <w:sz w:val="20"/>
          <w:szCs w:val="20"/>
          <w:color w:val="auto"/>
        </w:rPr>
      </w:pPr>
      <w:r>
        <w:rPr>
          <w:rFonts w:ascii="Arial" w:cs="Arial" w:eastAsia="Arial" w:hAnsi="Arial"/>
          <w:sz w:val="17"/>
          <w:szCs w:val="17"/>
          <w:color w:val="auto"/>
        </w:rPr>
        <w:t>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Special Meeting of Stockholders</w:t>
      </w:r>
    </w:p>
    <w:p>
      <w:pPr>
        <w:spacing w:after="0" w:line="211" w:lineRule="exact"/>
        <w:rPr>
          <w:sz w:val="20"/>
          <w:szCs w:val="20"/>
          <w:color w:val="auto"/>
        </w:rPr>
      </w:pPr>
    </w:p>
    <w:p>
      <w:pPr>
        <w:jc w:val="both"/>
        <w:ind w:firstLine="609"/>
        <w:spacing w:after="0" w:line="269" w:lineRule="auto"/>
        <w:rPr>
          <w:sz w:val="20"/>
          <w:szCs w:val="20"/>
          <w:color w:val="auto"/>
        </w:rPr>
      </w:pPr>
      <w:r>
        <w:rPr>
          <w:rFonts w:ascii="Arial" w:cs="Arial" w:eastAsia="Arial" w:hAnsi="Arial"/>
          <w:sz w:val="16"/>
          <w:szCs w:val="16"/>
          <w:color w:val="auto"/>
        </w:rPr>
        <w:t>Our amended and restated certificate of incorporation provide that until the Voting Threshold Date, our stockholders may only take action by written consent if such action is first recommended or approved by the Board of Directors. Following the Voting Threshold Date, our stockholders will not be able to take action by written consent for any matter and may only take action at annual or special meetings. As a result, a holder controlling a majority of our capital stock would not be able to amend our amended and restated bylaws or remove directors without holding a meeting of our stockholders called in accordance with our amended and restated bylaws, unless previously approved by our Board of Directors. Our amended and restated bylaws further provide that special meetings of our stockholders may be called only by a majority of our Board of Directors, the Chairman of our Board of Directors, our Chief Executive Officer or, until the Final Conversion Date, holders of 30% of the combined voting power of our Class A common stock and Class B common stock,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 for Stockholder Proposals and Director Nominations</w:t>
      </w:r>
    </w:p>
    <w:p>
      <w:pPr>
        <w:spacing w:after="0" w:line="211" w:lineRule="exact"/>
        <w:rPr>
          <w:sz w:val="20"/>
          <w:szCs w:val="20"/>
          <w:color w:val="auto"/>
        </w:rPr>
      </w:pPr>
    </w:p>
    <w:p>
      <w:pPr>
        <w:jc w:val="both"/>
        <w:ind w:firstLine="609"/>
        <w:spacing w:after="0" w:line="254" w:lineRule="auto"/>
        <w:rPr>
          <w:sz w:val="20"/>
          <w:szCs w:val="20"/>
          <w:color w:val="auto"/>
        </w:rPr>
      </w:pPr>
      <w:r>
        <w:rPr>
          <w:rFonts w:ascii="Arial" w:cs="Arial" w:eastAsia="Arial" w:hAnsi="Arial"/>
          <w:sz w:val="17"/>
          <w:szCs w:val="17"/>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211" w:lineRule="exact"/>
        <w:rPr>
          <w:sz w:val="20"/>
          <w:szCs w:val="20"/>
          <w:color w:val="auto"/>
        </w:rPr>
      </w:pPr>
    </w:p>
    <w:p>
      <w:pPr>
        <w:jc w:val="both"/>
        <w:ind w:firstLine="609"/>
        <w:spacing w:after="0" w:line="305" w:lineRule="auto"/>
        <w:rPr>
          <w:sz w:val="20"/>
          <w:szCs w:val="20"/>
          <w:color w:val="auto"/>
        </w:rPr>
      </w:pPr>
      <w:r>
        <w:rPr>
          <w:rFonts w:ascii="Arial" w:cs="Arial" w:eastAsia="Arial" w:hAnsi="Arial"/>
          <w:sz w:val="16"/>
          <w:szCs w:val="16"/>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Charter and Bylaws Provisions</w:t>
      </w:r>
    </w:p>
    <w:p>
      <w:pPr>
        <w:spacing w:after="0" w:line="211" w:lineRule="exact"/>
        <w:rPr>
          <w:sz w:val="20"/>
          <w:szCs w:val="20"/>
          <w:color w:val="auto"/>
        </w:rPr>
      </w:pPr>
    </w:p>
    <w:p>
      <w:pPr>
        <w:jc w:val="both"/>
        <w:ind w:firstLine="609"/>
        <w:spacing w:after="0" w:line="255" w:lineRule="auto"/>
        <w:rPr>
          <w:sz w:val="20"/>
          <w:szCs w:val="20"/>
          <w:color w:val="auto"/>
        </w:rPr>
      </w:pPr>
      <w:r>
        <w:rPr>
          <w:rFonts w:ascii="Arial" w:cs="Arial" w:eastAsia="Arial" w:hAnsi="Arial"/>
          <w:sz w:val="17"/>
          <w:szCs w:val="17"/>
          <w:color w:val="auto"/>
        </w:rPr>
        <w:t>Prior to the Final Conversion Date, any amendment of our amended and restated certificate of incorporation will require approval by holders of at least two-thirds of the voting power of our then outstanding capital stock. From and after the Final Conversion Date, certain amendments to our amended and restated certificate of incorporation will require the approval of two-thirds of the outstanding voting power of our common stock. Our amended and restated bylaws provide that approval of stockholders holding two-thirds of our outstanding voting power voting as a single class is required for stockholders to amend or adopt any provision of our bylaws.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Undesignated Preferred Stock</w:t>
      </w:r>
    </w:p>
    <w:p>
      <w:pPr>
        <w:spacing w:after="0" w:line="211" w:lineRule="exact"/>
        <w:rPr>
          <w:sz w:val="20"/>
          <w:szCs w:val="20"/>
          <w:color w:val="auto"/>
        </w:rPr>
      </w:pPr>
    </w:p>
    <w:p>
      <w:pPr>
        <w:jc w:val="both"/>
        <w:ind w:firstLine="609"/>
        <w:spacing w:after="0" w:line="257" w:lineRule="auto"/>
        <w:rPr>
          <w:sz w:val="20"/>
          <w:szCs w:val="20"/>
          <w:color w:val="auto"/>
        </w:rPr>
      </w:pPr>
      <w:r>
        <w:rPr>
          <w:rFonts w:ascii="Arial" w:cs="Arial" w:eastAsia="Arial" w:hAnsi="Arial"/>
          <w:sz w:val="17"/>
          <w:szCs w:val="17"/>
          <w:color w:val="auto"/>
        </w:rPr>
        <w:t>Our Board of Directors have the authority, without further action by our stockholders, to issue up to 240,000,000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109" w:lineRule="exact"/>
        <w:rPr>
          <w:sz w:val="20"/>
          <w:szCs w:val="20"/>
          <w:color w:val="auto"/>
        </w:rPr>
      </w:pPr>
    </w:p>
    <w:p>
      <w:pPr>
        <w:jc w:val="both"/>
        <w:ind w:firstLine="609"/>
        <w:spacing w:after="0" w:line="254" w:lineRule="auto"/>
        <w:rPr>
          <w:sz w:val="20"/>
          <w:szCs w:val="20"/>
          <w:color w:val="auto"/>
        </w:rPr>
      </w:pPr>
      <w:r>
        <w:rPr>
          <w:rFonts w:ascii="Arial" w:cs="Arial" w:eastAsia="Arial" w:hAnsi="Arial"/>
          <w:sz w:val="17"/>
          <w:szCs w:val="17"/>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ind w:left="620" w:hanging="314"/>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transaction was approved by the board of directors prior to the time that the stockholder became an interested stockholder;</w:t>
      </w:r>
    </w:p>
    <w:p>
      <w:pPr>
        <w:sectPr>
          <w:pgSz w:w="11900" w:h="16838" w:orient="portrait"/>
          <w:cols w:equalWidth="0" w:num="1">
            <w:col w:w="11240"/>
          </w:cols>
          <w:pgMar w:left="320" w:top="533" w:right="339" w:bottom="1440" w:gutter="0" w:footer="0" w:header="0"/>
        </w:sectPr>
      </w:pPr>
    </w:p>
    <w:bookmarkStart w:id="91" w:name="page92"/>
    <w:bookmarkEnd w:id="91"/>
    <w:p>
      <w:pPr>
        <w:jc w:val="both"/>
        <w:ind w:left="620" w:hanging="314"/>
        <w:spacing w:after="0" w:line="257"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304" w:lineRule="exact"/>
        <w:rPr>
          <w:rFonts w:ascii="Arial" w:cs="Arial" w:eastAsia="Arial" w:hAnsi="Arial"/>
          <w:sz w:val="17"/>
          <w:szCs w:val="17"/>
          <w:color w:val="auto"/>
        </w:rPr>
      </w:pPr>
    </w:p>
    <w:p>
      <w:pPr>
        <w:jc w:val="both"/>
        <w:ind w:left="620" w:hanging="314"/>
        <w:spacing w:after="0" w:line="261"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75" w:lineRule="exact"/>
        <w:rPr>
          <w:sz w:val="20"/>
          <w:szCs w:val="20"/>
          <w:color w:val="auto"/>
        </w:rPr>
      </w:pPr>
    </w:p>
    <w:p>
      <w:pPr>
        <w:jc w:val="both"/>
        <w:ind w:firstLine="609"/>
        <w:spacing w:after="0" w:line="284"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215" w:lineRule="exact"/>
        <w:rPr>
          <w:sz w:val="20"/>
          <w:szCs w:val="20"/>
          <w:color w:val="auto"/>
        </w:rPr>
      </w:pPr>
    </w:p>
    <w:p>
      <w:pPr>
        <w:jc w:val="both"/>
        <w:ind w:firstLine="609"/>
        <w:spacing w:after="0" w:line="269"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our certificate of incorporation or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Our amended and restated bylaws also provide that the federal district courts of the United States will be the exclusive forum for resolving any complaint asserting a cause of action arising under the Securities Act or a Federal Forum Provision.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Class A common stock is listed on the Nasdaq Global Select Market under the symbol “DBX”.</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15" w:lineRule="exact"/>
        <w:rPr>
          <w:sz w:val="20"/>
          <w:szCs w:val="20"/>
          <w:color w:val="auto"/>
        </w:rPr>
      </w:pPr>
    </w:p>
    <w:p>
      <w:pPr>
        <w:jc w:val="both"/>
        <w:ind w:firstLine="609"/>
        <w:spacing w:after="0" w:line="272" w:lineRule="auto"/>
        <w:rPr>
          <w:sz w:val="20"/>
          <w:szCs w:val="20"/>
          <w:color w:val="auto"/>
        </w:rPr>
      </w:pPr>
      <w:r>
        <w:rPr>
          <w:rFonts w:ascii="Arial" w:cs="Arial" w:eastAsia="Arial" w:hAnsi="Arial"/>
          <w:sz w:val="17"/>
          <w:szCs w:val="17"/>
          <w:color w:val="auto"/>
        </w:rPr>
        <w:t>The transfer agent and registrar for our common stock is Computershare Trust Company, N.A. The transfer agent and registrar’s address is 144 Fernwood Avenue, Edison, NJ 08837.</w:t>
      </w:r>
    </w:p>
    <w:p>
      <w:pPr>
        <w:sectPr>
          <w:pgSz w:w="11900" w:h="16838" w:orient="portrait"/>
          <w:cols w:equalWidth="0" w:num="1">
            <w:col w:w="11240"/>
          </w:cols>
          <w:pgMar w:left="320" w:top="533"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10.1</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August 4, 2020</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Role and Compensation Change for Timothy Regan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Timothy Regan</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tregan@dropbox.com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Dear Tim,</w:t>
      </w:r>
    </w:p>
    <w:p>
      <w:pPr>
        <w:spacing w:after="0" w:line="214" w:lineRule="exact"/>
        <w:rPr>
          <w:sz w:val="20"/>
          <w:szCs w:val="20"/>
          <w:color w:val="auto"/>
        </w:rPr>
      </w:pPr>
    </w:p>
    <w:p>
      <w:pPr>
        <w:ind w:right="400" w:firstLine="419"/>
        <w:spacing w:after="0" w:line="287" w:lineRule="auto"/>
        <w:rPr>
          <w:sz w:val="20"/>
          <w:szCs w:val="20"/>
          <w:color w:val="auto"/>
        </w:rPr>
      </w:pPr>
      <w:r>
        <w:rPr>
          <w:rFonts w:ascii="Arial" w:cs="Arial" w:eastAsia="Arial" w:hAnsi="Arial"/>
          <w:sz w:val="19"/>
          <w:szCs w:val="19"/>
          <w:color w:val="auto"/>
        </w:rPr>
        <w:t>On behalf of Dropbox Inc. (“Dropbox”), this letter confirms the details of your new role as Chief Financial Officer, effective September 15, 2020, reporting to the CEO and based in San Francisco, California office. In this role, you will continue to oversee the accounting functions of the company as our principal accounting officer unless and until a successor is duly appointed.</w:t>
      </w:r>
    </w:p>
    <w:p>
      <w:pPr>
        <w:spacing w:after="0" w:line="139" w:lineRule="exact"/>
        <w:rPr>
          <w:sz w:val="20"/>
          <w:szCs w:val="20"/>
          <w:color w:val="auto"/>
        </w:rPr>
      </w:pPr>
    </w:p>
    <w:p>
      <w:pPr>
        <w:ind w:left="300" w:right="80" w:hanging="298"/>
        <w:spacing w:after="0" w:line="268"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on September 15, 2020, your annualized base salary will be adjusted to $450,000 per year, less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taxes and withholdings, paid in accordance with Dropbox’s normal payroll procedures. Your base salary will be subject to review and adjustment based upon the Company’s normal performance review practices.</w:t>
      </w:r>
    </w:p>
    <w:p>
      <w:pPr>
        <w:spacing w:after="0" w:line="194" w:lineRule="exact"/>
        <w:rPr>
          <w:rFonts w:ascii="Arial" w:cs="Arial" w:eastAsia="Arial" w:hAnsi="Arial"/>
          <w:sz w:val="17"/>
          <w:szCs w:val="17"/>
          <w:color w:val="auto"/>
        </w:rPr>
      </w:pPr>
    </w:p>
    <w:p>
      <w:pPr>
        <w:jc w:val="both"/>
        <w:ind w:left="300" w:hanging="298"/>
        <w:spacing w:after="0" w:line="274" w:lineRule="auto"/>
        <w:tabs>
          <w:tab w:leader="none" w:pos="300" w:val="left"/>
        </w:tabs>
        <w:numPr>
          <w:ilvl w:val="0"/>
          <w:numId w:val="37"/>
        </w:numPr>
        <w:rPr>
          <w:rFonts w:ascii="Arial" w:cs="Arial" w:eastAsia="Arial" w:hAnsi="Arial"/>
          <w:sz w:val="16"/>
          <w:szCs w:val="16"/>
          <w:color w:val="auto"/>
        </w:rPr>
      </w:pPr>
      <w:r>
        <w:rPr>
          <w:rFonts w:ascii="Arial" w:cs="Arial" w:eastAsia="Arial" w:hAnsi="Arial"/>
          <w:sz w:val="19"/>
          <w:szCs w:val="19"/>
          <w:b w:val="1"/>
          <w:bCs w:val="1"/>
          <w:u w:val="single" w:color="auto"/>
          <w:color w:val="auto"/>
        </w:rPr>
        <w:t>Annual Bonus.</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continue to be eligible to receive an annual bonus, and the new target amount will be 65% of your base</w:t>
      </w:r>
      <w:r>
        <w:rPr>
          <w:rFonts w:ascii="Arial" w:cs="Arial" w:eastAsia="Arial" w:hAnsi="Arial"/>
          <w:sz w:val="19"/>
          <w:szCs w:val="19"/>
          <w:b w:val="1"/>
          <w:bCs w:val="1"/>
          <w:color w:val="auto"/>
        </w:rPr>
        <w:t xml:space="preserve"> </w:t>
      </w:r>
      <w:r>
        <w:rPr>
          <w:rFonts w:ascii="Arial" w:cs="Arial" w:eastAsia="Arial" w:hAnsi="Arial"/>
          <w:sz w:val="19"/>
          <w:szCs w:val="19"/>
          <w:color w:val="auto"/>
        </w:rPr>
        <w:t>salary, contingent upon you achieving performance objectives established by the Dropbox Board of Directors or its authorized committee (collectively the “Committee) in its sole discretion and payable upon achievement of those objectives as determined by the Committee. If any portion of such bonus is earned, it will be paid when practicable after the Committee determines it has been earned. Your annual bonus opportunity will be subject to review and adjustment based upon the Company’s normal performance review practices. No bonus will be earned or received unless you’re still employed by Dropbox on the bonus payment date.</w:t>
      </w:r>
    </w:p>
    <w:p>
      <w:pPr>
        <w:spacing w:after="0" w:line="153" w:lineRule="exact"/>
        <w:rPr>
          <w:rFonts w:ascii="Arial" w:cs="Arial" w:eastAsia="Arial" w:hAnsi="Arial"/>
          <w:sz w:val="16"/>
          <w:szCs w:val="16"/>
          <w:color w:val="auto"/>
        </w:rPr>
      </w:pPr>
    </w:p>
    <w:p>
      <w:pPr>
        <w:ind w:left="300" w:right="80" w:hanging="298"/>
        <w:spacing w:after="0" w:line="257"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20"/>
          <w:szCs w:val="20"/>
          <w:b w:val="1"/>
          <w:bCs w:val="1"/>
          <w:u w:val="single" w:color="auto"/>
          <w:color w:val="auto"/>
        </w:rPr>
        <w:t>Equity.</w:t>
      </w:r>
      <w:r>
        <w:rPr>
          <w:rFonts w:ascii="Arial" w:cs="Arial" w:eastAsia="Arial" w:hAnsi="Arial"/>
          <w:sz w:val="20"/>
          <w:szCs w:val="20"/>
          <w:b w:val="1"/>
          <w:bCs w:val="1"/>
          <w:color w:val="auto"/>
        </w:rPr>
        <w:t xml:space="preserve"> </w:t>
      </w:r>
      <w:r>
        <w:rPr>
          <w:rFonts w:ascii="Arial" w:cs="Arial" w:eastAsia="Arial" w:hAnsi="Arial"/>
          <w:sz w:val="20"/>
          <w:szCs w:val="20"/>
          <w:color w:val="auto"/>
        </w:rPr>
        <w:t>We will recommend to the Dropbox Board of Directors (or its delegate) that you be granted additional restricted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RSAs</w:t>
      </w:r>
      <w:r>
        <w:rPr>
          <w:rFonts w:ascii="Arial" w:cs="Arial" w:eastAsia="Arial" w:hAnsi="Arial"/>
          <w:sz w:val="20"/>
          <w:szCs w:val="20"/>
          <w:color w:val="auto"/>
        </w:rPr>
        <w:t>”) with an approximate current value of $4,000,000.00 under Dropbox’s equity incentive plan, with the number of shares granted to be determined by the average closing price of Dropbox common stock for the prior month (the “Grant”). The Grant will be subject to the terms of Dropbox’s Equity Award Grant Policy, equity incentive plan, and the Restricted Stock Award Agreement between you and Dropbox. This Grant is further subject to the Board’s approval and the promise to recommend the approval does not create an obligation for Dropbox to issue any equity grant to you. Further details on the equity plan and any specific grant will be provided upon the Board’s (or its delegate’s) approval of the Grant.</w:t>
      </w:r>
    </w:p>
    <w:p>
      <w:pPr>
        <w:spacing w:after="0" w:line="167" w:lineRule="exact"/>
        <w:rPr>
          <w:rFonts w:ascii="Arial" w:cs="Arial" w:eastAsia="Arial" w:hAnsi="Arial"/>
          <w:sz w:val="17"/>
          <w:szCs w:val="17"/>
          <w:color w:val="auto"/>
        </w:rPr>
      </w:pPr>
    </w:p>
    <w:p>
      <w:pPr>
        <w:ind w:left="300" w:right="20" w:hanging="298"/>
        <w:spacing w:after="0" w:line="263"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20"/>
          <w:szCs w:val="20"/>
          <w:b w:val="1"/>
          <w:bCs w:val="1"/>
          <w:u w:val="single" w:color="auto"/>
          <w:color w:val="auto"/>
        </w:rPr>
        <w:t>Employee Benefits</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You and your family members will continue to be eligible to participate in Dropbox’s standard employee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plans as they are provided to San Francisco, California employees to the extent that you meet their eligibility criteria. This Section 4 does not create any obligation on the part of Dropbox to adopt or maintain any employee benefit plan or program at any time. Dropbox may amend or terminate, any employee benefit plan or program at any time.</w:t>
      </w:r>
    </w:p>
    <w:p>
      <w:pPr>
        <w:spacing w:after="0" w:line="197" w:lineRule="exact"/>
        <w:rPr>
          <w:rFonts w:ascii="Arial" w:cs="Arial" w:eastAsia="Arial" w:hAnsi="Arial"/>
          <w:sz w:val="17"/>
          <w:szCs w:val="17"/>
          <w:color w:val="auto"/>
        </w:rPr>
      </w:pPr>
    </w:p>
    <w:p>
      <w:pPr>
        <w:jc w:val="both"/>
        <w:ind w:left="300" w:hanging="298"/>
        <w:spacing w:after="0" w:line="268"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20"/>
          <w:szCs w:val="20"/>
          <w:b w:val="1"/>
          <w:bCs w:val="1"/>
          <w:u w:val="single" w:color="auto"/>
          <w:color w:val="auto"/>
        </w:rPr>
        <w:t>Severance</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eligible to enter into a Change in Control and Severance Agreement (the “Severance Agreement”)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to you based on your position within the Company. The Severance Agreement will specify the severance payments and benefits you would be eligible to receive in connection</w:t>
      </w:r>
    </w:p>
    <w:p>
      <w:pPr>
        <w:sectPr>
          <w:pgSz w:w="11900" w:h="16838" w:orient="portrait"/>
          <w:cols w:equalWidth="0" w:num="1">
            <w:col w:w="11240"/>
          </w:cols>
          <w:pgMar w:left="320" w:top="736" w:right="339" w:bottom="1440" w:gutter="0" w:footer="0" w:header="0"/>
        </w:sectPr>
      </w:pPr>
    </w:p>
    <w:bookmarkStart w:id="93" w:name="page94"/>
    <w:bookmarkEnd w:id="93"/>
    <w:p>
      <w:pPr>
        <w:jc w:val="both"/>
        <w:ind w:left="298"/>
        <w:spacing w:after="0" w:line="231" w:lineRule="auto"/>
        <w:rPr>
          <w:sz w:val="20"/>
          <w:szCs w:val="20"/>
          <w:color w:val="auto"/>
        </w:rPr>
      </w:pPr>
      <w:r>
        <w:rPr>
          <w:rFonts w:ascii="Arial" w:cs="Arial" w:eastAsia="Arial" w:hAnsi="Arial"/>
          <w:sz w:val="20"/>
          <w:szCs w:val="20"/>
          <w:color w:val="auto"/>
        </w:rPr>
        <w:t>with certain terminations of your employment with the Company. These protections will supersede all other severance payments and benefits you would otherwise currently be eligible for to, or would become eligible for in the future, under any plan, program or policy that the Company may have in effect from time to time.</w:t>
      </w:r>
    </w:p>
    <w:p>
      <w:pPr>
        <w:spacing w:after="0" w:line="208" w:lineRule="exact"/>
        <w:rPr>
          <w:sz w:val="20"/>
          <w:szCs w:val="20"/>
          <w:color w:val="auto"/>
        </w:rPr>
      </w:pPr>
    </w:p>
    <w:p>
      <w:pPr>
        <w:jc w:val="both"/>
        <w:ind w:left="298" w:hanging="298"/>
        <w:spacing w:after="0" w:line="260" w:lineRule="auto"/>
        <w:tabs>
          <w:tab w:leader="none" w:pos="298" w:val="left"/>
        </w:tabs>
        <w:numPr>
          <w:ilvl w:val="0"/>
          <w:numId w:val="38"/>
        </w:numPr>
        <w:rPr>
          <w:rFonts w:ascii="Arial" w:cs="Arial" w:eastAsia="Arial" w:hAnsi="Arial"/>
          <w:sz w:val="17"/>
          <w:szCs w:val="17"/>
          <w:color w:val="auto"/>
        </w:rPr>
      </w:pPr>
      <w:r>
        <w:rPr>
          <w:rFonts w:ascii="Arial" w:cs="Arial" w:eastAsia="Arial" w:hAnsi="Arial"/>
          <w:sz w:val="20"/>
          <w:szCs w:val="20"/>
          <w:b w:val="1"/>
          <w:bCs w:val="1"/>
          <w:u w:val="single" w:color="auto"/>
          <w:color w:val="auto"/>
        </w:rPr>
        <w:t>Confidentiality Agreement</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an employee of the Company, you will continue to have access to certain confidential information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you may, during the course of your employment, develop certain information or inventions that will be the property of the Company. To protect the interests of the Company, your acceptance of this Agreement confirms that the terms of the Company’s Employee Invention Assignment and Confidentiality Agreement you previously signed with the Company (the “EIACA”) still apply.</w:t>
      </w:r>
    </w:p>
    <w:p>
      <w:pPr>
        <w:spacing w:after="0" w:line="201" w:lineRule="exact"/>
        <w:rPr>
          <w:rFonts w:ascii="Arial" w:cs="Arial" w:eastAsia="Arial" w:hAnsi="Arial"/>
          <w:sz w:val="17"/>
          <w:szCs w:val="17"/>
          <w:color w:val="auto"/>
        </w:rPr>
      </w:pPr>
    </w:p>
    <w:p>
      <w:pPr>
        <w:jc w:val="both"/>
        <w:ind w:left="298" w:hanging="298"/>
        <w:spacing w:after="0" w:line="254" w:lineRule="auto"/>
        <w:tabs>
          <w:tab w:leader="none" w:pos="298" w:val="left"/>
        </w:tabs>
        <w:numPr>
          <w:ilvl w:val="0"/>
          <w:numId w:val="38"/>
        </w:numPr>
        <w:rPr>
          <w:rFonts w:ascii="Arial" w:cs="Arial" w:eastAsia="Arial" w:hAnsi="Arial"/>
          <w:sz w:val="17"/>
          <w:szCs w:val="17"/>
          <w:color w:val="auto"/>
        </w:rPr>
      </w:pPr>
      <w:r>
        <w:rPr>
          <w:rFonts w:ascii="Arial" w:cs="Arial" w:eastAsia="Arial" w:hAnsi="Arial"/>
          <w:sz w:val="20"/>
          <w:szCs w:val="20"/>
          <w:b w:val="1"/>
          <w:bCs w:val="1"/>
          <w:u w:val="single" w:color="auto"/>
          <w:color w:val="auto"/>
        </w:rPr>
        <w:t>Commitment to Company</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your employment with the Company, you will continue to perform your duties faithfully and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best of your ability and you will devote your full business efforts and time to the Company. Except as specifically approved by the Committee, you agree that, during the term of your employment with the Company, you will not (i) engage in any other employment, occupation, consulting, business or other activity related to the business in which the Company or any of its subsidiaries or affiliates is now involved, any proposed business of the Company or any of its subsidiaries or affiliates, or any business in which the Company or any of its subsidiaries or affiliates becomes involved during the term of your employment, (ii) assist any other person or organization in competing with the Company or in preparing to engage in competition with the business or proposed business of the Company, or (iii) engage in any other activities that conflict with your obligations to the Company or any of its subsidiaries or affiliates. Similarly, you agree not to bring any third party confidential information to the Company, including that of your former employer, and that in performing your duties for the Company you will not in any way utilize any such information. You will disclose to the Company in writing any other employment, business or activity that you are currently associated with or participate in that competes with the Company.</w:t>
      </w:r>
    </w:p>
    <w:p>
      <w:pPr>
        <w:spacing w:after="0" w:line="214" w:lineRule="exact"/>
        <w:rPr>
          <w:rFonts w:ascii="Arial" w:cs="Arial" w:eastAsia="Arial" w:hAnsi="Arial"/>
          <w:sz w:val="17"/>
          <w:szCs w:val="17"/>
          <w:color w:val="auto"/>
        </w:rPr>
      </w:pPr>
    </w:p>
    <w:p>
      <w:pPr>
        <w:jc w:val="both"/>
        <w:ind w:left="298" w:hanging="298"/>
        <w:spacing w:after="0" w:line="284" w:lineRule="auto"/>
        <w:tabs>
          <w:tab w:leader="none" w:pos="298" w:val="left"/>
        </w:tabs>
        <w:numPr>
          <w:ilvl w:val="0"/>
          <w:numId w:val="38"/>
        </w:numPr>
        <w:rPr>
          <w:rFonts w:ascii="Arial" w:cs="Arial" w:eastAsia="Arial" w:hAnsi="Arial"/>
          <w:sz w:val="15"/>
          <w:szCs w:val="15"/>
          <w:color w:val="auto"/>
        </w:rPr>
      </w:pPr>
      <w:r>
        <w:rPr>
          <w:rFonts w:ascii="Arial" w:cs="Arial" w:eastAsia="Arial" w:hAnsi="Arial"/>
          <w:sz w:val="18"/>
          <w:szCs w:val="18"/>
          <w:b w:val="1"/>
          <w:bCs w:val="1"/>
          <w:u w:val="single" w:color="auto"/>
          <w:color w:val="auto"/>
        </w:rPr>
        <w:t>Protected Activity Not Prohibited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or in any other agreement between you or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will in any way limit or prohibit you from engaging for a lawful purpose in any Protected Activity. For purposes of this Agreement, “Protected Activity” 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Notwithstanding any restrictions set forth in this Agreement or in any other agreement between you or the Company, as applicable, you understand that you are not required to obtain authorization from the Company prior to disclosing information to, or communicating with, such agencies, nor are you obligated to advise the Company as to any such disclosures or communications. In making any such disclosures or communications, you agree to take all reasonable precautions to prevent any unauthorized use or disclosure of any information that may constitute Confidential Information (within the meaning of the EIACA) to any parties other than the relevant government agencies. You further understand that “Protected Activity” does not include the disclosure of any Company attorney-client privileged communications, and that any such disclosure without the Company’s written consent will constitute a material breach of this Agreement.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8" w:lineRule="exact"/>
        <w:rPr>
          <w:rFonts w:ascii="Arial" w:cs="Arial" w:eastAsia="Arial" w:hAnsi="Arial"/>
          <w:sz w:val="15"/>
          <w:szCs w:val="15"/>
          <w:color w:val="auto"/>
        </w:rPr>
      </w:pPr>
    </w:p>
    <w:p>
      <w:pPr>
        <w:ind w:left="298" w:hanging="298"/>
        <w:spacing w:after="0" w:line="286" w:lineRule="auto"/>
        <w:tabs>
          <w:tab w:leader="none" w:pos="298" w:val="left"/>
        </w:tabs>
        <w:numPr>
          <w:ilvl w:val="0"/>
          <w:numId w:val="38"/>
        </w:numPr>
        <w:rPr>
          <w:rFonts w:ascii="Arial" w:cs="Arial" w:eastAsia="Arial" w:hAnsi="Arial"/>
          <w:sz w:val="17"/>
          <w:szCs w:val="17"/>
          <w:color w:val="auto"/>
        </w:rPr>
      </w:pPr>
      <w:r>
        <w:rPr>
          <w:rFonts w:ascii="Arial" w:cs="Arial" w:eastAsia="Arial" w:hAnsi="Arial"/>
          <w:sz w:val="20"/>
          <w:szCs w:val="20"/>
          <w:b w:val="1"/>
          <w:bCs w:val="1"/>
          <w:u w:val="single" w:color="auto"/>
          <w:color w:val="auto"/>
        </w:rPr>
        <w:t>Arbitration (Not applicable to Sexual Harassment or Discrimination Claims)</w:t>
      </w:r>
      <w:r>
        <w:rPr>
          <w:rFonts w:ascii="Arial" w:cs="Arial" w:eastAsia="Arial" w:hAnsi="Arial"/>
          <w:sz w:val="20"/>
          <w:szCs w:val="20"/>
          <w:color w:val="auto"/>
        </w:rPr>
        <w:t>. Except as explained in this paragraph, you and</w:t>
      </w:r>
      <w:r>
        <w:rPr>
          <w:rFonts w:ascii="Arial" w:cs="Arial" w:eastAsia="Arial" w:hAnsi="Arial"/>
          <w:sz w:val="20"/>
          <w:szCs w:val="20"/>
          <w:b w:val="1"/>
          <w:bCs w:val="1"/>
          <w:color w:val="auto"/>
        </w:rPr>
        <w:t xml:space="preserve"> </w:t>
      </w:r>
      <w:r>
        <w:rPr>
          <w:rFonts w:ascii="Arial" w:cs="Arial" w:eastAsia="Arial" w:hAnsi="Arial"/>
          <w:sz w:val="20"/>
          <w:szCs w:val="20"/>
          <w:color w:val="auto"/>
        </w:rPr>
        <w:t>Dropbox shall submit to mandatory and exclusive binding arbitration of any</w:t>
      </w:r>
    </w:p>
    <w:p>
      <w:pPr>
        <w:sectPr>
          <w:pgSz w:w="11900" w:h="16838" w:orient="portrait"/>
          <w:cols w:equalWidth="0" w:num="1">
            <w:col w:w="11238"/>
          </w:cols>
          <w:pgMar w:left="322" w:top="512" w:right="339" w:bottom="1440" w:gutter="0" w:footer="0" w:header="0"/>
        </w:sectPr>
      </w:pPr>
    </w:p>
    <w:bookmarkStart w:id="94" w:name="page95"/>
    <w:bookmarkEnd w:id="94"/>
    <w:p>
      <w:pPr>
        <w:jc w:val="both"/>
        <w:ind w:left="298"/>
        <w:spacing w:after="0" w:line="220" w:lineRule="auto"/>
        <w:rPr>
          <w:sz w:val="20"/>
          <w:szCs w:val="20"/>
          <w:color w:val="auto"/>
        </w:rPr>
      </w:pPr>
      <w:r>
        <w:rPr>
          <w:rFonts w:ascii="Arial" w:cs="Arial" w:eastAsia="Arial" w:hAnsi="Arial"/>
          <w:sz w:val="20"/>
          <w:szCs w:val="20"/>
          <w:color w:val="auto"/>
        </w:rPr>
        <w:t>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“Excluded Claims”). While you’re not required to arbitrate any of the Excluded Claims, you may choose to do so if you’d like once a dispute arises.</w:t>
      </w:r>
    </w:p>
    <w:p>
      <w:pPr>
        <w:spacing w:after="0" w:line="174" w:lineRule="exact"/>
        <w:rPr>
          <w:sz w:val="20"/>
          <w:szCs w:val="20"/>
          <w:color w:val="auto"/>
        </w:rPr>
      </w:pPr>
    </w:p>
    <w:p>
      <w:pPr>
        <w:jc w:val="both"/>
        <w:ind w:left="298"/>
        <w:spacing w:after="0" w:line="275" w:lineRule="auto"/>
        <w:rPr>
          <w:sz w:val="20"/>
          <w:szCs w:val="20"/>
          <w:color w:val="auto"/>
        </w:rPr>
      </w:pPr>
      <w:r>
        <w:rPr>
          <w:rFonts w:ascii="Arial" w:cs="Arial" w:eastAsia="Arial" w:hAnsi="Arial"/>
          <w:sz w:val="19"/>
          <w:szCs w:val="19"/>
          <w:color w:val="auto"/>
        </w:rPr>
        <w:t>It’s entirely up to you. Also, you agree to submit any of the Excluded Claims to pre-suit mediation before filing any civil action alleging such claim(s). This way, the parties will have an early opportunity to try and reach an amicable resolution of their dispute. The mediation will be with a mutually selected neutral mediator from JAMS and Dropbox will pay all reasonable mediation fees. If either Dropbox or you brings both arbitrable and non-arbitrable claims in the same or related action, both agree that the non-arbitrable claims shall be stayed until the conclusion of arbitration, to the extent allowed by law.</w:t>
      </w:r>
    </w:p>
    <w:p>
      <w:pPr>
        <w:spacing w:after="0" w:line="157" w:lineRule="exact"/>
        <w:rPr>
          <w:sz w:val="20"/>
          <w:szCs w:val="20"/>
          <w:color w:val="auto"/>
        </w:rPr>
      </w:pPr>
    </w:p>
    <w:p>
      <w:pPr>
        <w:jc w:val="both"/>
        <w:ind w:left="298"/>
        <w:spacing w:after="0" w:line="267" w:lineRule="auto"/>
        <w:rPr>
          <w:sz w:val="20"/>
          <w:szCs w:val="20"/>
          <w:color w:val="auto"/>
        </w:rPr>
      </w:pPr>
      <w:r>
        <w:rPr>
          <w:rFonts w:ascii="Arial" w:cs="Arial" w:eastAsia="Arial" w:hAnsi="Arial"/>
          <w:sz w:val="19"/>
          <w:szCs w:val="19"/>
          <w:color w:val="auto"/>
        </w:rPr>
        <w:t xml:space="preserve">THE PARTIES HEREBY WAIVE ANY RIGHTS THEY MAY HAVE TO TRIAL BY JURY IN REGARD TO CLAIMS SUBJECT TO ARBITRATION UNDER THIS AGREEMENT. You and 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JAMS in San Francisco, California, before a single neutral arbitrator, in accordance with the employment arbitration rules in effect at that time. The JAMS Employment Arbitration Rules may be found and reviewed at </w:t>
      </w:r>
      <w:r>
        <w:rPr>
          <w:rFonts w:ascii="Arial" w:cs="Arial" w:eastAsia="Arial" w:hAnsi="Arial"/>
          <w:sz w:val="19"/>
          <w:szCs w:val="19"/>
          <w:u w:val="single" w:color="auto"/>
          <w:color w:val="0000FF"/>
        </w:rPr>
        <w:t>https://www.jamsadr.com/rules-employment-arbitration/</w:t>
      </w:r>
      <w:r>
        <w:rPr>
          <w:rFonts w:ascii="Arial" w:cs="Arial" w:eastAsia="Arial" w:hAnsi="Arial"/>
          <w:sz w:val="19"/>
          <w:szCs w:val="19"/>
          <w:color w:val="000000"/>
        </w:rPr>
        <w:t>. If you are unable to access these rules, please let your Recruiter know and</w:t>
      </w:r>
      <w:r>
        <w:rPr>
          <w:rFonts w:ascii="Arial" w:cs="Arial" w:eastAsia="Arial" w:hAnsi="Arial"/>
          <w:sz w:val="19"/>
          <w:szCs w:val="19"/>
          <w:color w:val="0000FF"/>
        </w:rPr>
        <w:t xml:space="preserve"> </w:t>
      </w:r>
      <w:r>
        <w:rPr>
          <w:rFonts w:ascii="Arial" w:cs="Arial" w:eastAsia="Arial" w:hAnsi="Arial"/>
          <w:sz w:val="19"/>
          <w:szCs w:val="19"/>
          <w:color w:val="000000"/>
        </w:rPr>
        <w:t>they will provide you a hardcopy.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spacing w:after="0" w:line="168" w:lineRule="exact"/>
        <w:rPr>
          <w:sz w:val="20"/>
          <w:szCs w:val="20"/>
          <w:color w:val="auto"/>
        </w:rPr>
      </w:pPr>
    </w:p>
    <w:p>
      <w:pPr>
        <w:jc w:val="both"/>
        <w:ind w:left="298" w:right="160" w:hanging="298"/>
        <w:spacing w:after="0" w:line="268" w:lineRule="auto"/>
        <w:tabs>
          <w:tab w:leader="none" w:pos="298" w:val="left"/>
        </w:tabs>
        <w:numPr>
          <w:ilvl w:val="0"/>
          <w:numId w:val="39"/>
        </w:numPr>
        <w:rPr>
          <w:rFonts w:ascii="Arial" w:cs="Arial" w:eastAsia="Arial" w:hAnsi="Arial"/>
          <w:sz w:val="17"/>
          <w:szCs w:val="17"/>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Acceptance of this new role does not alter the at-will nature of your employment with Dropbox which means</w:t>
      </w:r>
      <w:r>
        <w:rPr>
          <w:rFonts w:ascii="Arial" w:cs="Arial" w:eastAsia="Arial" w:hAnsi="Arial"/>
          <w:sz w:val="20"/>
          <w:szCs w:val="20"/>
          <w:b w:val="1"/>
          <w:bCs w:val="1"/>
          <w:color w:val="auto"/>
        </w:rPr>
        <w:t xml:space="preserve"> </w:t>
      </w:r>
      <w:r>
        <w:rPr>
          <w:rFonts w:ascii="Arial" w:cs="Arial" w:eastAsia="Arial" w:hAnsi="Arial"/>
          <w:sz w:val="20"/>
          <w:szCs w:val="20"/>
          <w:color w:val="auto"/>
        </w:rPr>
        <w:t>the employment relationship can be terminated by either you or Dropbox for any reason, at any time, with or without prior notice or cause.</w:t>
      </w:r>
    </w:p>
    <w:p>
      <w:pPr>
        <w:spacing w:after="0" w:line="160" w:lineRule="exact"/>
        <w:rPr>
          <w:sz w:val="20"/>
          <w:szCs w:val="20"/>
          <w:color w:val="auto"/>
        </w:rPr>
      </w:pPr>
    </w:p>
    <w:p>
      <w:pPr>
        <w:ind w:left="418"/>
        <w:spacing w:after="0"/>
        <w:rPr>
          <w:sz w:val="20"/>
          <w:szCs w:val="20"/>
          <w:color w:val="auto"/>
        </w:rPr>
      </w:pPr>
      <w:r>
        <w:rPr>
          <w:rFonts w:ascii="Arial" w:cs="Arial" w:eastAsia="Arial" w:hAnsi="Arial"/>
          <w:sz w:val="19"/>
          <w:szCs w:val="19"/>
          <w:color w:val="auto"/>
        </w:rPr>
        <w:t>Congratulations on this new role and thanks for all your hard work! Please let me know if you have any additional questions.</w:t>
      </w:r>
    </w:p>
    <w:p>
      <w:pPr>
        <w:sectPr>
          <w:pgSz w:w="11900" w:h="16838" w:orient="portrait"/>
          <w:cols w:equalWidth="0" w:num="1">
            <w:col w:w="11238"/>
          </w:cols>
          <w:pgMar w:left="322" w:top="512"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60"/>
        <w:spacing w:after="0"/>
        <w:rPr>
          <w:sz w:val="20"/>
          <w:szCs w:val="20"/>
          <w:color w:val="auto"/>
        </w:rPr>
      </w:pPr>
      <w:r>
        <w:rPr>
          <w:rFonts w:ascii="Arial" w:cs="Arial" w:eastAsia="Arial" w:hAnsi="Arial"/>
          <w:sz w:val="20"/>
          <w:szCs w:val="20"/>
          <w:u w:val="single" w:color="auto"/>
          <w:color w:val="auto"/>
        </w:rPr>
        <w:t>/s/ Drew Houston</w:t>
      </w:r>
    </w:p>
    <w:p>
      <w:pPr>
        <w:spacing w:after="0" w:line="29"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Drew Houston</w:t>
      </w:r>
    </w:p>
    <w:p>
      <w:pPr>
        <w:spacing w:after="0" w:line="24"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Chief Executive Officer</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I, Timothy Regan, acknowledge that I have read, understood and agree to the above terms and conditions.</w:t>
      </w:r>
    </w:p>
    <w:p>
      <w:pPr>
        <w:spacing w:after="0" w:line="200" w:lineRule="exact"/>
        <w:rPr>
          <w:sz w:val="20"/>
          <w:szCs w:val="20"/>
          <w:color w:val="auto"/>
        </w:rPr>
      </w:pPr>
    </w:p>
    <w:p>
      <w:pPr>
        <w:spacing w:after="0" w:line="339"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20"/>
                <w:szCs w:val="20"/>
                <w:color w:val="auto"/>
              </w:rPr>
              <w:t>/s/ Timothy Regan</w:t>
            </w:r>
          </w:p>
        </w:tc>
        <w:tc>
          <w:tcPr>
            <w:tcW w:w="4960" w:type="dxa"/>
            <w:vAlign w:val="bottom"/>
            <w:gridSpan w:val="2"/>
          </w:tcPr>
          <w:p>
            <w:pPr>
              <w:jc w:val="right"/>
              <w:spacing w:after="0"/>
              <w:rPr>
                <w:sz w:val="20"/>
                <w:szCs w:val="20"/>
                <w:color w:val="auto"/>
              </w:rPr>
            </w:pPr>
            <w:r>
              <w:rPr>
                <w:rFonts w:ascii="Arial" w:cs="Arial" w:eastAsia="Arial" w:hAnsi="Arial"/>
                <w:sz w:val="20"/>
                <w:szCs w:val="20"/>
                <w:color w:val="auto"/>
              </w:rPr>
              <w:t>8/4/2020</w:t>
            </w:r>
          </w:p>
        </w:tc>
      </w:tr>
      <w:tr>
        <w:trPr>
          <w:trHeight w:val="20"/>
        </w:trPr>
        <w:tc>
          <w:tcPr>
            <w:tcW w:w="15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56"/>
        </w:trPr>
        <w:tc>
          <w:tcPr>
            <w:tcW w:w="1500" w:type="dxa"/>
            <w:vAlign w:val="bottom"/>
          </w:tcPr>
          <w:p>
            <w:pPr>
              <w:spacing w:after="0"/>
              <w:rPr>
                <w:sz w:val="20"/>
                <w:szCs w:val="20"/>
                <w:color w:val="auto"/>
              </w:rPr>
            </w:pPr>
            <w:r>
              <w:rPr>
                <w:rFonts w:ascii="Arial" w:cs="Arial" w:eastAsia="Arial" w:hAnsi="Arial"/>
                <w:sz w:val="20"/>
                <w:szCs w:val="20"/>
                <w:color w:val="auto"/>
              </w:rPr>
              <w:t>Timothy Regan</w:t>
            </w:r>
          </w:p>
        </w:tc>
        <w:tc>
          <w:tcPr>
            <w:tcW w:w="3980" w:type="dxa"/>
            <w:vAlign w:val="bottom"/>
          </w:tcPr>
          <w:p>
            <w:pPr>
              <w:spacing w:after="0"/>
              <w:rPr>
                <w:sz w:val="22"/>
                <w:szCs w:val="22"/>
                <w:color w:val="auto"/>
              </w:rPr>
            </w:pPr>
          </w:p>
        </w:tc>
        <w:tc>
          <w:tcPr>
            <w:tcW w:w="4960" w:type="dxa"/>
            <w:vAlign w:val="bottom"/>
            <w:gridSpan w:val="2"/>
          </w:tcPr>
          <w:p>
            <w:pPr>
              <w:jc w:val="right"/>
              <w:spacing w:after="0"/>
              <w:rPr>
                <w:sz w:val="20"/>
                <w:szCs w:val="20"/>
                <w:color w:val="auto"/>
              </w:rPr>
            </w:pPr>
            <w:r>
              <w:rPr>
                <w:rFonts w:ascii="Arial" w:cs="Arial" w:eastAsia="Arial" w:hAnsi="Arial"/>
                <w:sz w:val="20"/>
                <w:szCs w:val="20"/>
                <w:color w:val="auto"/>
              </w:rPr>
              <w:t>Date Signed</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60"/>
        <w:spacing w:after="0"/>
        <w:rPr>
          <w:sz w:val="20"/>
          <w:szCs w:val="20"/>
          <w:color w:val="auto"/>
        </w:rPr>
      </w:pPr>
      <w:r>
        <w:rPr>
          <w:rFonts w:ascii="Arial" w:cs="Arial" w:eastAsia="Arial" w:hAnsi="Arial"/>
          <w:sz w:val="20"/>
          <w:szCs w:val="20"/>
          <w:b w:val="1"/>
          <w:bCs w:val="1"/>
          <w:u w:val="single" w:color="auto"/>
          <w:color w:val="auto"/>
        </w:rPr>
        <w:t>Exhibit A</w:t>
      </w:r>
    </w:p>
    <w:p>
      <w:pPr>
        <w:spacing w:after="0" w:line="214"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SECTION 7 OF THE DEFEND TRADE SECRETS ACT OF 2016</w:t>
      </w:r>
    </w:p>
    <w:p>
      <w:pPr>
        <w:spacing w:after="0" w:line="218" w:lineRule="exact"/>
        <w:rPr>
          <w:sz w:val="20"/>
          <w:szCs w:val="20"/>
          <w:color w:val="auto"/>
        </w:rPr>
      </w:pPr>
    </w:p>
    <w:p>
      <w:pPr>
        <w:jc w:val="both"/>
        <w:ind w:firstLine="609"/>
        <w:spacing w:after="0" w:line="256" w:lineRule="auto"/>
        <w:rPr>
          <w:sz w:val="20"/>
          <w:szCs w:val="20"/>
          <w:color w:val="auto"/>
        </w:rPr>
      </w:pPr>
      <w:r>
        <w:rPr>
          <w:rFonts w:ascii="Arial" w:cs="Arial" w:eastAsia="Arial" w:hAnsi="Arial"/>
          <w:sz w:val="20"/>
          <w:szCs w:val="20"/>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11240"/>
          </w:cols>
          <w:pgMar w:left="320" w:top="740"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 Andrew W. Houston, certify that:</w:t>
      </w:r>
    </w:p>
    <w:p>
      <w:pPr>
        <w:spacing w:after="0" w:line="211" w:lineRule="exact"/>
        <w:rPr>
          <w:sz w:val="20"/>
          <w:szCs w:val="20"/>
          <w:color w:val="auto"/>
        </w:rPr>
      </w:pPr>
    </w:p>
    <w:p>
      <w:pPr>
        <w:ind w:left="300" w:hanging="298"/>
        <w:spacing w:after="0"/>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10" w:lineRule="exact"/>
        <w:rPr>
          <w:rFonts w:ascii="Arial" w:cs="Arial" w:eastAsia="Arial" w:hAnsi="Arial"/>
          <w:sz w:val="17"/>
          <w:szCs w:val="17"/>
          <w:color w:val="auto"/>
        </w:rPr>
      </w:pPr>
    </w:p>
    <w:p>
      <w:pPr>
        <w:ind w:left="300" w:right="340" w:hanging="298"/>
        <w:spacing w:after="0" w:line="341" w:lineRule="auto"/>
        <w:tabs>
          <w:tab w:leader="none" w:pos="3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left="300" w:right="420" w:hanging="298"/>
        <w:spacing w:after="0" w:line="272" w:lineRule="auto"/>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300" w:right="120" w:hanging="298"/>
        <w:spacing w:after="0" w:line="272" w:lineRule="auto"/>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7"/>
          <w:szCs w:val="17"/>
          <w:color w:val="auto"/>
        </w:rPr>
      </w:pPr>
    </w:p>
    <w:p>
      <w:pPr>
        <w:ind w:left="620" w:right="20" w:hanging="314"/>
        <w:spacing w:after="0" w:line="261" w:lineRule="auto"/>
        <w:tabs>
          <w:tab w:leader="none" w:pos="6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620" w:right="180" w:hanging="314"/>
        <w:spacing w:after="0" w:line="272" w:lineRule="auto"/>
        <w:tabs>
          <w:tab w:leader="none" w:pos="6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7"/>
          <w:szCs w:val="17"/>
          <w:color w:val="auto"/>
        </w:rPr>
      </w:pPr>
    </w:p>
    <w:p>
      <w:pPr>
        <w:ind w:left="620" w:right="140" w:hanging="314"/>
        <w:spacing w:after="0" w:line="261" w:lineRule="auto"/>
        <w:tabs>
          <w:tab w:leader="none" w:pos="6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300" w:right="40" w:hanging="298"/>
        <w:spacing w:after="0" w:line="272" w:lineRule="auto"/>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7"/>
          <w:szCs w:val="17"/>
          <w:color w:val="auto"/>
        </w:rPr>
      </w:pPr>
    </w:p>
    <w:p>
      <w:pPr>
        <w:ind w:left="620" w:right="340" w:hanging="314"/>
        <w:spacing w:after="0" w:line="272" w:lineRule="auto"/>
        <w:tabs>
          <w:tab w:leader="none" w:pos="6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620" w:right="580" w:hanging="314"/>
        <w:spacing w:after="0" w:line="272" w:lineRule="auto"/>
        <w:tabs>
          <w:tab w:leader="none" w:pos="6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2020</w:t>
      </w:r>
    </w:p>
    <w:p>
      <w:pPr>
        <w:spacing w:after="0" w:line="160"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338" w:lineRule="exact"/>
        <w:rPr>
          <w:sz w:val="20"/>
          <w:szCs w:val="20"/>
          <w:color w:val="auto"/>
        </w:rPr>
      </w:pPr>
    </w:p>
    <w:tbl>
      <w:tblPr>
        <w:tblLayout w:type="fixed"/>
        <w:tblInd w:w="6680" w:type="dxa"/>
        <w:tblCellMar>
          <w:top w:w="0" w:type="dxa"/>
          <w:left w:w="0" w:type="dxa"/>
          <w:bottom w:w="0" w:type="dxa"/>
          <w:right w:w="0" w:type="dxa"/>
        </w:tblCellMar>
      </w:tblPr>
      <w:tr>
        <w:trPr>
          <w:trHeight w:val="21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3880" w:type="dxa"/>
            <w:vAlign w:val="bottom"/>
          </w:tcPr>
          <w:p>
            <w:pPr>
              <w:ind w:left="20"/>
              <w:spacing w:after="0"/>
              <w:rPr>
                <w:sz w:val="20"/>
                <w:szCs w:val="20"/>
                <w:color w:val="auto"/>
              </w:rPr>
            </w:pPr>
            <w:r>
              <w:rPr>
                <w:rFonts w:ascii="Arial" w:cs="Arial" w:eastAsia="Arial" w:hAnsi="Arial"/>
                <w:sz w:val="17"/>
                <w:szCs w:val="17"/>
                <w:color w:val="auto"/>
              </w:rPr>
              <w:t>/s/ Andrew W. Houston</w:t>
            </w:r>
          </w:p>
        </w:tc>
      </w:tr>
      <w:tr>
        <w:trPr>
          <w:trHeight w:val="26"/>
        </w:trPr>
        <w:tc>
          <w:tcPr>
            <w:tcW w:w="6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20"/>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388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42"/>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388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15"/>
        </w:trPr>
        <w:tc>
          <w:tcPr>
            <w:tcW w:w="68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2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 Ajay V. Vashee, certify that:</w:t>
      </w:r>
    </w:p>
    <w:p>
      <w:pPr>
        <w:spacing w:after="0" w:line="211" w:lineRule="exact"/>
        <w:rPr>
          <w:sz w:val="20"/>
          <w:szCs w:val="20"/>
          <w:color w:val="auto"/>
        </w:rPr>
      </w:pPr>
    </w:p>
    <w:p>
      <w:pPr>
        <w:ind w:left="300" w:hanging="298"/>
        <w:spacing w:after="0"/>
        <w:tabs>
          <w:tab w:leader="none" w:pos="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10" w:lineRule="exact"/>
        <w:rPr>
          <w:rFonts w:ascii="Arial" w:cs="Arial" w:eastAsia="Arial" w:hAnsi="Arial"/>
          <w:sz w:val="17"/>
          <w:szCs w:val="17"/>
          <w:color w:val="auto"/>
        </w:rPr>
      </w:pPr>
    </w:p>
    <w:p>
      <w:pPr>
        <w:ind w:left="300" w:right="340" w:hanging="298"/>
        <w:spacing w:after="0" w:line="341" w:lineRule="auto"/>
        <w:tabs>
          <w:tab w:leader="none" w:pos="3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left="300" w:right="420" w:hanging="298"/>
        <w:spacing w:after="0" w:line="272" w:lineRule="auto"/>
        <w:tabs>
          <w:tab w:leader="none" w:pos="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300" w:right="120" w:hanging="298"/>
        <w:spacing w:after="0" w:line="272" w:lineRule="auto"/>
        <w:tabs>
          <w:tab w:leader="none" w:pos="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7"/>
          <w:szCs w:val="17"/>
          <w:color w:val="auto"/>
        </w:rPr>
      </w:pPr>
    </w:p>
    <w:p>
      <w:pPr>
        <w:ind w:left="620" w:right="20" w:hanging="314"/>
        <w:spacing w:after="0" w:line="261" w:lineRule="auto"/>
        <w:tabs>
          <w:tab w:leader="none" w:pos="6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620" w:right="180" w:hanging="314"/>
        <w:spacing w:after="0" w:line="272" w:lineRule="auto"/>
        <w:tabs>
          <w:tab w:leader="none" w:pos="6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7"/>
          <w:szCs w:val="17"/>
          <w:color w:val="auto"/>
        </w:rPr>
      </w:pPr>
    </w:p>
    <w:p>
      <w:pPr>
        <w:ind w:left="620" w:right="140" w:hanging="314"/>
        <w:spacing w:after="0" w:line="261" w:lineRule="auto"/>
        <w:tabs>
          <w:tab w:leader="none" w:pos="6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300" w:right="40" w:hanging="298"/>
        <w:spacing w:after="0" w:line="272" w:lineRule="auto"/>
        <w:tabs>
          <w:tab w:leader="none" w:pos="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7"/>
          <w:szCs w:val="17"/>
          <w:color w:val="auto"/>
        </w:rPr>
      </w:pPr>
    </w:p>
    <w:p>
      <w:pPr>
        <w:ind w:left="620" w:right="340" w:hanging="314"/>
        <w:spacing w:after="0" w:line="272" w:lineRule="auto"/>
        <w:tabs>
          <w:tab w:leader="none" w:pos="6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620" w:right="580" w:hanging="314"/>
        <w:spacing w:after="0" w:line="272" w:lineRule="auto"/>
        <w:tabs>
          <w:tab w:leader="none" w:pos="6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2020</w:t>
      </w:r>
    </w:p>
    <w:p>
      <w:pPr>
        <w:spacing w:after="0" w:line="160"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338" w:lineRule="exact"/>
        <w:rPr>
          <w:sz w:val="20"/>
          <w:szCs w:val="20"/>
          <w:color w:val="auto"/>
        </w:rPr>
      </w:pPr>
    </w:p>
    <w:tbl>
      <w:tblPr>
        <w:tblLayout w:type="fixed"/>
        <w:tblInd w:w="6680" w:type="dxa"/>
        <w:tblCellMar>
          <w:top w:w="0" w:type="dxa"/>
          <w:left w:w="0" w:type="dxa"/>
          <w:bottom w:w="0" w:type="dxa"/>
          <w:right w:w="0" w:type="dxa"/>
        </w:tblCellMar>
      </w:tblPr>
      <w:tr>
        <w:trPr>
          <w:trHeight w:val="21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3880" w:type="dxa"/>
            <w:vAlign w:val="bottom"/>
          </w:tcPr>
          <w:p>
            <w:pPr>
              <w:ind w:left="20"/>
              <w:spacing w:after="0"/>
              <w:rPr>
                <w:sz w:val="20"/>
                <w:szCs w:val="20"/>
                <w:color w:val="auto"/>
              </w:rPr>
            </w:pPr>
            <w:r>
              <w:rPr>
                <w:rFonts w:ascii="Arial" w:cs="Arial" w:eastAsia="Arial" w:hAnsi="Arial"/>
                <w:sz w:val="17"/>
                <w:szCs w:val="17"/>
                <w:color w:val="auto"/>
              </w:rPr>
              <w:t>/s/ Ajay V. Vashee</w:t>
            </w:r>
          </w:p>
        </w:tc>
      </w:tr>
      <w:tr>
        <w:trPr>
          <w:trHeight w:val="26"/>
        </w:trPr>
        <w:tc>
          <w:tcPr>
            <w:tcW w:w="6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20"/>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3880" w:type="dxa"/>
            <w:vAlign w:val="bottom"/>
          </w:tcPr>
          <w:p>
            <w:pPr>
              <w:ind w:left="20"/>
              <w:spacing w:after="0"/>
              <w:rPr>
                <w:sz w:val="20"/>
                <w:szCs w:val="20"/>
                <w:color w:val="auto"/>
              </w:rPr>
            </w:pPr>
            <w:r>
              <w:rPr>
                <w:rFonts w:ascii="Arial" w:cs="Arial" w:eastAsia="Arial" w:hAnsi="Arial"/>
                <w:sz w:val="17"/>
                <w:szCs w:val="17"/>
                <w:color w:val="auto"/>
              </w:rPr>
              <w:t>Ajay V. Vashee</w:t>
            </w:r>
          </w:p>
        </w:tc>
      </w:tr>
      <w:tr>
        <w:trPr>
          <w:trHeight w:val="242"/>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38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15"/>
        </w:trPr>
        <w:tc>
          <w:tcPr>
            <w:tcW w:w="68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bl>
    <w:p>
      <w:pPr>
        <w:sectPr>
          <w:pgSz w:w="11900" w:h="16838" w:orient="portrait"/>
          <w:cols w:equalWidth="0" w:num="1">
            <w:col w:w="11240"/>
          </w:cols>
          <w:pgMar w:left="320" w:top="12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9"/>
          <w:szCs w:val="19"/>
          <w:b w:val="1"/>
          <w:bCs w:val="1"/>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jc w:val="center"/>
        <w:spacing w:after="0" w:line="237" w:lineRule="auto"/>
        <w:rPr>
          <w:sz w:val="20"/>
          <w:szCs w:val="20"/>
          <w:color w:val="auto"/>
        </w:rPr>
      </w:pPr>
      <w:r>
        <w:rPr>
          <w:rFonts w:ascii="Arial" w:cs="Arial" w:eastAsia="Arial" w:hAnsi="Arial"/>
          <w:sz w:val="19"/>
          <w:szCs w:val="19"/>
          <w:b w:val="1"/>
          <w:bCs w:val="1"/>
          <w:color w:val="auto"/>
        </w:rPr>
        <w:t>18 U.S.C. SECTION 1350,</w:t>
      </w:r>
    </w:p>
    <w:p>
      <w:pPr>
        <w:jc w:val="center"/>
        <w:spacing w:after="0" w:line="237" w:lineRule="auto"/>
        <w:rPr>
          <w:sz w:val="20"/>
          <w:szCs w:val="20"/>
          <w:color w:val="auto"/>
        </w:rPr>
      </w:pPr>
      <w:r>
        <w:rPr>
          <w:rFonts w:ascii="Arial" w:cs="Arial" w:eastAsia="Arial" w:hAnsi="Arial"/>
          <w:sz w:val="19"/>
          <w:szCs w:val="19"/>
          <w:b w:val="1"/>
          <w:bCs w:val="1"/>
          <w:color w:val="auto"/>
        </w:rPr>
        <w:t>AS ADOPTED PURSUANT TO</w:t>
      </w: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March 31, 2020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40" w:type="dxa"/>
            <w:vAlign w:val="bottom"/>
            <w:vMerge w:val="restart"/>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20" w:type="dxa"/>
            <w:vAlign w:val="bottom"/>
            <w:vMerge w:val="restart"/>
            <w:shd w:val="clear" w:color="auto" w:fill="FEFEFE"/>
          </w:tcPr>
          <w:p>
            <w:pPr>
              <w:ind w:left="20"/>
              <w:spacing w:after="0"/>
              <w:rPr>
                <w:sz w:val="20"/>
                <w:szCs w:val="20"/>
                <w:color w:val="auto"/>
              </w:rPr>
            </w:pPr>
            <w:r>
              <w:rPr>
                <w:rFonts w:ascii="Arial" w:cs="Arial" w:eastAsia="Arial" w:hAnsi="Arial"/>
                <w:sz w:val="19"/>
                <w:szCs w:val="19"/>
                <w:color w:val="auto"/>
              </w:rPr>
              <w:t>August 7, 2020</w:t>
            </w:r>
          </w:p>
        </w:tc>
        <w:tc>
          <w:tcPr>
            <w:tcW w:w="900" w:type="dxa"/>
            <w:vAlign w:val="bottom"/>
            <w:vMerge w:val="restart"/>
            <w:shd w:val="clear" w:color="auto" w:fill="FEFEFE"/>
          </w:tcPr>
          <w:p>
            <w:pPr>
              <w:ind w:left="40"/>
              <w:spacing w:after="0"/>
              <w:rPr>
                <w:sz w:val="20"/>
                <w:szCs w:val="20"/>
                <w:color w:val="auto"/>
              </w:rPr>
            </w:pPr>
            <w:r>
              <w:rPr>
                <w:rFonts w:ascii="Arial" w:cs="Arial" w:eastAsia="Arial" w:hAnsi="Arial"/>
                <w:sz w:val="19"/>
                <w:szCs w:val="19"/>
                <w:color w:val="auto"/>
              </w:rPr>
              <w:t>By:</w:t>
            </w:r>
          </w:p>
        </w:tc>
        <w:tc>
          <w:tcPr>
            <w:tcW w:w="4380" w:type="dxa"/>
            <w:vAlign w:val="bottom"/>
          </w:tcPr>
          <w:p>
            <w:pPr>
              <w:ind w:left="40"/>
              <w:spacing w:after="0"/>
              <w:rPr>
                <w:sz w:val="20"/>
                <w:szCs w:val="20"/>
                <w:color w:val="auto"/>
              </w:rPr>
            </w:pPr>
            <w:r>
              <w:rPr>
                <w:rFonts w:ascii="Arial" w:cs="Arial" w:eastAsia="Arial" w:hAnsi="Arial"/>
                <w:sz w:val="19"/>
                <w:szCs w:val="19"/>
                <w:color w:val="auto"/>
              </w:rPr>
              <w:t>/s/ Andrew W. Houston</w:t>
            </w:r>
          </w:p>
        </w:tc>
        <w:tc>
          <w:tcPr>
            <w:tcW w:w="0" w:type="dxa"/>
            <w:vAlign w:val="bottom"/>
          </w:tcPr>
          <w:p>
            <w:pPr>
              <w:spacing w:after="0"/>
              <w:rPr>
                <w:sz w:val="1"/>
                <w:szCs w:val="1"/>
                <w:color w:val="auto"/>
              </w:rPr>
            </w:pPr>
          </w:p>
        </w:tc>
      </w:tr>
      <w:tr>
        <w:trPr>
          <w:trHeight w:val="204"/>
        </w:trPr>
        <w:tc>
          <w:tcPr>
            <w:tcW w:w="1140" w:type="dxa"/>
            <w:vAlign w:val="bottom"/>
            <w:vMerge w:val="continue"/>
            <w:shd w:val="clear" w:color="auto" w:fill="FEFEFE"/>
          </w:tcPr>
          <w:p>
            <w:pPr>
              <w:spacing w:after="0"/>
              <w:rPr>
                <w:sz w:val="17"/>
                <w:szCs w:val="17"/>
                <w:color w:val="auto"/>
              </w:rPr>
            </w:pPr>
          </w:p>
        </w:tc>
        <w:tc>
          <w:tcPr>
            <w:tcW w:w="4820" w:type="dxa"/>
            <w:vAlign w:val="bottom"/>
            <w:vMerge w:val="continue"/>
            <w:shd w:val="clear" w:color="auto" w:fill="FEFEFE"/>
          </w:tcPr>
          <w:p>
            <w:pPr>
              <w:spacing w:after="0"/>
              <w:rPr>
                <w:sz w:val="17"/>
                <w:szCs w:val="17"/>
                <w:color w:val="auto"/>
              </w:rPr>
            </w:pPr>
          </w:p>
        </w:tc>
        <w:tc>
          <w:tcPr>
            <w:tcW w:w="900" w:type="dxa"/>
            <w:vAlign w:val="bottom"/>
            <w:vMerge w:val="continue"/>
            <w:shd w:val="clear" w:color="auto" w:fill="FEFEFE"/>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FEFEFE"/>
            </w:tcBorders>
            <w:shd w:val="clear" w:color="auto" w:fill="FEFEFE"/>
          </w:tcPr>
          <w:p>
            <w:pPr>
              <w:spacing w:after="0" w:line="20" w:lineRule="exact"/>
              <w:rPr>
                <w:sz w:val="1"/>
                <w:szCs w:val="1"/>
                <w:color w:val="auto"/>
              </w:rPr>
            </w:pPr>
          </w:p>
        </w:tc>
        <w:tc>
          <w:tcPr>
            <w:tcW w:w="4820" w:type="dxa"/>
            <w:vAlign w:val="bottom"/>
            <w:tcBorders>
              <w:bottom w:val="single" w:sz="8" w:color="FEFEFE"/>
            </w:tcBorders>
            <w:shd w:val="clear" w:color="auto" w:fill="FEFEFE"/>
          </w:tcPr>
          <w:p>
            <w:pPr>
              <w:spacing w:after="0" w:line="20" w:lineRule="exact"/>
              <w:rPr>
                <w:sz w:val="1"/>
                <w:szCs w:val="1"/>
                <w:color w:val="auto"/>
              </w:rPr>
            </w:pPr>
          </w:p>
        </w:tc>
        <w:tc>
          <w:tcPr>
            <w:tcW w:w="900" w:type="dxa"/>
            <w:vAlign w:val="bottom"/>
            <w:tcBorders>
              <w:bottom w:val="single" w:sz="8" w:color="FEFEFE"/>
            </w:tcBorders>
            <w:shd w:val="clear" w:color="auto" w:fill="FEFEFE"/>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1140" w:type="dxa"/>
            <w:vAlign w:val="bottom"/>
            <w:shd w:val="clear" w:color="auto" w:fill="FEFEFE"/>
          </w:tcPr>
          <w:p>
            <w:pPr>
              <w:spacing w:after="0"/>
              <w:rPr>
                <w:sz w:val="20"/>
                <w:szCs w:val="20"/>
                <w:color w:val="auto"/>
              </w:rPr>
            </w:pPr>
          </w:p>
        </w:tc>
        <w:tc>
          <w:tcPr>
            <w:tcW w:w="4820" w:type="dxa"/>
            <w:vAlign w:val="bottom"/>
            <w:shd w:val="clear" w:color="auto" w:fill="FEFEFE"/>
          </w:tcPr>
          <w:p>
            <w:pPr>
              <w:spacing w:after="0"/>
              <w:rPr>
                <w:sz w:val="20"/>
                <w:szCs w:val="20"/>
                <w:color w:val="auto"/>
              </w:rPr>
            </w:pPr>
          </w:p>
        </w:tc>
        <w:tc>
          <w:tcPr>
            <w:tcW w:w="900" w:type="dxa"/>
            <w:vAlign w:val="bottom"/>
            <w:shd w:val="clear" w:color="auto" w:fill="FEFEFE"/>
          </w:tcPr>
          <w:p>
            <w:pPr>
              <w:ind w:left="40"/>
              <w:spacing w:after="0"/>
              <w:rPr>
                <w:sz w:val="20"/>
                <w:szCs w:val="20"/>
                <w:color w:val="auto"/>
              </w:rPr>
            </w:pPr>
            <w:r>
              <w:rPr>
                <w:rFonts w:ascii="Arial" w:cs="Arial" w:eastAsia="Arial" w:hAnsi="Arial"/>
                <w:sz w:val="19"/>
                <w:szCs w:val="19"/>
                <w:color w:val="auto"/>
              </w:rPr>
              <w:t>Name:</w:t>
            </w:r>
          </w:p>
        </w:tc>
        <w:tc>
          <w:tcPr>
            <w:tcW w:w="4380" w:type="dxa"/>
            <w:vAlign w:val="bottom"/>
            <w:shd w:val="clear" w:color="auto" w:fill="FEFEFE"/>
          </w:tcPr>
          <w:p>
            <w:pPr>
              <w:ind w:left="40"/>
              <w:spacing w:after="0"/>
              <w:rPr>
                <w:sz w:val="20"/>
                <w:szCs w:val="20"/>
                <w:color w:val="auto"/>
              </w:rPr>
            </w:pPr>
            <w:r>
              <w:rPr>
                <w:rFonts w:ascii="Arial" w:cs="Arial" w:eastAsia="Arial" w:hAnsi="Arial"/>
                <w:sz w:val="19"/>
                <w:szCs w:val="19"/>
                <w:color w:val="auto"/>
              </w:rPr>
              <w:t>Andrew W. Houston</w:t>
            </w:r>
          </w:p>
        </w:tc>
        <w:tc>
          <w:tcPr>
            <w:tcW w:w="0" w:type="dxa"/>
            <w:vAlign w:val="bottom"/>
          </w:tcPr>
          <w:p>
            <w:pPr>
              <w:spacing w:after="0"/>
              <w:rPr>
                <w:sz w:val="1"/>
                <w:szCs w:val="1"/>
                <w:color w:val="auto"/>
              </w:rPr>
            </w:pPr>
          </w:p>
        </w:tc>
      </w:tr>
      <w:tr>
        <w:trPr>
          <w:trHeight w:val="254"/>
        </w:trPr>
        <w:tc>
          <w:tcPr>
            <w:tcW w:w="1140" w:type="dxa"/>
            <w:vAlign w:val="bottom"/>
            <w:shd w:val="clear" w:color="auto" w:fill="FEFEFE"/>
          </w:tcPr>
          <w:p>
            <w:pPr>
              <w:spacing w:after="0"/>
              <w:rPr>
                <w:sz w:val="22"/>
                <w:szCs w:val="22"/>
                <w:color w:val="auto"/>
              </w:rPr>
            </w:pPr>
          </w:p>
        </w:tc>
        <w:tc>
          <w:tcPr>
            <w:tcW w:w="4820" w:type="dxa"/>
            <w:vAlign w:val="bottom"/>
            <w:shd w:val="clear" w:color="auto" w:fill="FEFEFE"/>
          </w:tcPr>
          <w:p>
            <w:pPr>
              <w:spacing w:after="0"/>
              <w:rPr>
                <w:sz w:val="22"/>
                <w:szCs w:val="22"/>
                <w:color w:val="auto"/>
              </w:rPr>
            </w:pPr>
          </w:p>
        </w:tc>
        <w:tc>
          <w:tcPr>
            <w:tcW w:w="900" w:type="dxa"/>
            <w:vAlign w:val="bottom"/>
            <w:shd w:val="clear" w:color="auto" w:fill="FEFEFE"/>
          </w:tcPr>
          <w:p>
            <w:pPr>
              <w:ind w:left="40"/>
              <w:spacing w:after="0"/>
              <w:rPr>
                <w:sz w:val="20"/>
                <w:szCs w:val="20"/>
                <w:color w:val="auto"/>
              </w:rPr>
            </w:pPr>
            <w:r>
              <w:rPr>
                <w:rFonts w:ascii="Arial" w:cs="Arial" w:eastAsia="Arial" w:hAnsi="Arial"/>
                <w:sz w:val="19"/>
                <w:szCs w:val="19"/>
                <w:color w:val="auto"/>
              </w:rPr>
              <w:t>Title:</w:t>
            </w:r>
          </w:p>
        </w:tc>
        <w:tc>
          <w:tcPr>
            <w:tcW w:w="4380" w:type="dxa"/>
            <w:vAlign w:val="bottom"/>
            <w:shd w:val="clear" w:color="auto" w:fill="FEFEFE"/>
          </w:tcPr>
          <w:p>
            <w:pPr>
              <w:ind w:left="40"/>
              <w:spacing w:after="0"/>
              <w:rPr>
                <w:sz w:val="20"/>
                <w:szCs w:val="20"/>
                <w:color w:val="auto"/>
              </w:rPr>
            </w:pPr>
            <w:r>
              <w:rPr>
                <w:rFonts w:ascii="Arial" w:cs="Arial" w:eastAsia="Arial" w:hAnsi="Arial"/>
                <w:sz w:val="19"/>
                <w:szCs w:val="19"/>
                <w:color w:val="auto"/>
              </w:rPr>
              <w:t>Chief Executive Officer</w:t>
            </w:r>
          </w:p>
        </w:tc>
        <w:tc>
          <w:tcPr>
            <w:tcW w:w="0" w:type="dxa"/>
            <w:vAlign w:val="bottom"/>
          </w:tcPr>
          <w:p>
            <w:pPr>
              <w:spacing w:after="0"/>
              <w:rPr>
                <w:sz w:val="1"/>
                <w:szCs w:val="1"/>
                <w:color w:val="auto"/>
              </w:rPr>
            </w:pPr>
          </w:p>
        </w:tc>
      </w:tr>
      <w:tr>
        <w:trPr>
          <w:trHeight w:val="279"/>
        </w:trPr>
        <w:tc>
          <w:tcPr>
            <w:tcW w:w="1140" w:type="dxa"/>
            <w:vAlign w:val="bottom"/>
            <w:shd w:val="clear" w:color="auto" w:fill="FEFEFE"/>
          </w:tcPr>
          <w:p>
            <w:pPr>
              <w:spacing w:after="0"/>
              <w:rPr>
                <w:sz w:val="24"/>
                <w:szCs w:val="24"/>
                <w:color w:val="auto"/>
              </w:rPr>
            </w:pPr>
          </w:p>
        </w:tc>
        <w:tc>
          <w:tcPr>
            <w:tcW w:w="482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4380" w:type="dxa"/>
            <w:vAlign w:val="bottom"/>
            <w:shd w:val="clear" w:color="auto" w:fill="FEFEFE"/>
          </w:tcPr>
          <w:p>
            <w:pPr>
              <w:ind w:left="40"/>
              <w:spacing w:after="0"/>
              <w:rPr>
                <w:sz w:val="20"/>
                <w:szCs w:val="20"/>
                <w:color w:val="auto"/>
              </w:rPr>
            </w:pPr>
            <w:r>
              <w:rPr>
                <w:rFonts w:ascii="Arial" w:cs="Arial" w:eastAsia="Arial" w:hAnsi="Arial"/>
                <w:sz w:val="19"/>
                <w:szCs w:val="19"/>
                <w:color w:val="auto"/>
              </w:rPr>
              <w:t>(Principal Executive Officer)</w:t>
            </w:r>
          </w:p>
        </w:tc>
        <w:tc>
          <w:tcPr>
            <w:tcW w:w="0" w:type="dxa"/>
            <w:vAlign w:val="bottom"/>
          </w:tcPr>
          <w:p>
            <w:pPr>
              <w:spacing w:after="0"/>
              <w:rPr>
                <w:sz w:val="1"/>
                <w:szCs w:val="1"/>
                <w:color w:val="auto"/>
              </w:rPr>
            </w:pPr>
          </w:p>
        </w:tc>
      </w:tr>
      <w:tr>
        <w:trPr>
          <w:trHeight w:val="249"/>
        </w:trPr>
        <w:tc>
          <w:tcPr>
            <w:tcW w:w="1140" w:type="dxa"/>
            <w:vAlign w:val="bottom"/>
            <w:shd w:val="clear" w:color="auto" w:fill="FEFEFE"/>
          </w:tcPr>
          <w:p>
            <w:pPr>
              <w:spacing w:after="0"/>
              <w:rPr>
                <w:sz w:val="21"/>
                <w:szCs w:val="21"/>
                <w:color w:val="auto"/>
              </w:rPr>
            </w:pPr>
          </w:p>
        </w:tc>
        <w:tc>
          <w:tcPr>
            <w:tcW w:w="4820" w:type="dxa"/>
            <w:vAlign w:val="bottom"/>
            <w:shd w:val="clear" w:color="auto" w:fill="FEFEFE"/>
          </w:tcPr>
          <w:p>
            <w:pPr>
              <w:spacing w:after="0"/>
              <w:rPr>
                <w:sz w:val="21"/>
                <w:szCs w:val="21"/>
                <w:color w:val="auto"/>
              </w:rPr>
            </w:pPr>
          </w:p>
        </w:tc>
        <w:tc>
          <w:tcPr>
            <w:tcW w:w="900" w:type="dxa"/>
            <w:vAlign w:val="bottom"/>
            <w:shd w:val="clear" w:color="auto" w:fill="FEFEFE"/>
          </w:tcPr>
          <w:p>
            <w:pPr>
              <w:spacing w:after="0"/>
              <w:rPr>
                <w:sz w:val="21"/>
                <w:szCs w:val="21"/>
                <w:color w:val="auto"/>
              </w:rPr>
            </w:pPr>
          </w:p>
        </w:tc>
        <w:tc>
          <w:tcPr>
            <w:tcW w:w="438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 Ajay V. Vashee, certify, pursuant to 18 U.S.C. Section 1350, as adopted pursuant to Section 906 of the Sarbanes-Oxley Act of 2002, that the Quarterly Report on Form 10-Q of Dropbox, Inc. for the fiscal quarter ended March 31, 2020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40" w:type="dxa"/>
            <w:vAlign w:val="bottom"/>
            <w:vMerge w:val="restart"/>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20" w:type="dxa"/>
            <w:vAlign w:val="bottom"/>
            <w:vMerge w:val="restart"/>
            <w:shd w:val="clear" w:color="auto" w:fill="FEFEFE"/>
          </w:tcPr>
          <w:p>
            <w:pPr>
              <w:ind w:left="20"/>
              <w:spacing w:after="0"/>
              <w:rPr>
                <w:sz w:val="20"/>
                <w:szCs w:val="20"/>
                <w:color w:val="auto"/>
              </w:rPr>
            </w:pPr>
            <w:r>
              <w:rPr>
                <w:rFonts w:ascii="Arial" w:cs="Arial" w:eastAsia="Arial" w:hAnsi="Arial"/>
                <w:sz w:val="19"/>
                <w:szCs w:val="19"/>
                <w:color w:val="auto"/>
              </w:rPr>
              <w:t>August 7, 2020</w:t>
            </w:r>
          </w:p>
        </w:tc>
        <w:tc>
          <w:tcPr>
            <w:tcW w:w="900" w:type="dxa"/>
            <w:vAlign w:val="bottom"/>
            <w:vMerge w:val="restart"/>
            <w:shd w:val="clear" w:color="auto" w:fill="FEFEFE"/>
          </w:tcPr>
          <w:p>
            <w:pPr>
              <w:ind w:left="40"/>
              <w:spacing w:after="0"/>
              <w:rPr>
                <w:sz w:val="20"/>
                <w:szCs w:val="20"/>
                <w:color w:val="auto"/>
              </w:rPr>
            </w:pPr>
            <w:r>
              <w:rPr>
                <w:rFonts w:ascii="Arial" w:cs="Arial" w:eastAsia="Arial" w:hAnsi="Arial"/>
                <w:sz w:val="19"/>
                <w:szCs w:val="19"/>
                <w:color w:val="auto"/>
              </w:rPr>
              <w:t>By:</w:t>
            </w:r>
          </w:p>
        </w:tc>
        <w:tc>
          <w:tcPr>
            <w:tcW w:w="4380" w:type="dxa"/>
            <w:vAlign w:val="bottom"/>
          </w:tcPr>
          <w:p>
            <w:pPr>
              <w:ind w:left="40"/>
              <w:spacing w:after="0"/>
              <w:rPr>
                <w:sz w:val="20"/>
                <w:szCs w:val="20"/>
                <w:color w:val="auto"/>
              </w:rPr>
            </w:pPr>
            <w:r>
              <w:rPr>
                <w:rFonts w:ascii="Arial" w:cs="Arial" w:eastAsia="Arial" w:hAnsi="Arial"/>
                <w:sz w:val="19"/>
                <w:szCs w:val="19"/>
                <w:color w:val="auto"/>
              </w:rPr>
              <w:t>/s/ Ajay V. Vashee</w:t>
            </w:r>
          </w:p>
        </w:tc>
        <w:tc>
          <w:tcPr>
            <w:tcW w:w="0" w:type="dxa"/>
            <w:vAlign w:val="bottom"/>
          </w:tcPr>
          <w:p>
            <w:pPr>
              <w:spacing w:after="0"/>
              <w:rPr>
                <w:sz w:val="1"/>
                <w:szCs w:val="1"/>
                <w:color w:val="auto"/>
              </w:rPr>
            </w:pPr>
          </w:p>
        </w:tc>
      </w:tr>
      <w:tr>
        <w:trPr>
          <w:trHeight w:val="204"/>
        </w:trPr>
        <w:tc>
          <w:tcPr>
            <w:tcW w:w="1140" w:type="dxa"/>
            <w:vAlign w:val="bottom"/>
            <w:vMerge w:val="continue"/>
            <w:shd w:val="clear" w:color="auto" w:fill="FEFEFE"/>
          </w:tcPr>
          <w:p>
            <w:pPr>
              <w:spacing w:after="0"/>
              <w:rPr>
                <w:sz w:val="17"/>
                <w:szCs w:val="17"/>
                <w:color w:val="auto"/>
              </w:rPr>
            </w:pPr>
          </w:p>
        </w:tc>
        <w:tc>
          <w:tcPr>
            <w:tcW w:w="4820" w:type="dxa"/>
            <w:vAlign w:val="bottom"/>
            <w:vMerge w:val="continue"/>
            <w:shd w:val="clear" w:color="auto" w:fill="FEFEFE"/>
          </w:tcPr>
          <w:p>
            <w:pPr>
              <w:spacing w:after="0"/>
              <w:rPr>
                <w:sz w:val="17"/>
                <w:szCs w:val="17"/>
                <w:color w:val="auto"/>
              </w:rPr>
            </w:pPr>
          </w:p>
        </w:tc>
        <w:tc>
          <w:tcPr>
            <w:tcW w:w="900" w:type="dxa"/>
            <w:vAlign w:val="bottom"/>
            <w:vMerge w:val="continue"/>
            <w:shd w:val="clear" w:color="auto" w:fill="FEFEFE"/>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FEFEFE"/>
            </w:tcBorders>
            <w:shd w:val="clear" w:color="auto" w:fill="FEFEFE"/>
          </w:tcPr>
          <w:p>
            <w:pPr>
              <w:spacing w:after="0" w:line="20" w:lineRule="exact"/>
              <w:rPr>
                <w:sz w:val="1"/>
                <w:szCs w:val="1"/>
                <w:color w:val="auto"/>
              </w:rPr>
            </w:pPr>
          </w:p>
        </w:tc>
        <w:tc>
          <w:tcPr>
            <w:tcW w:w="4820" w:type="dxa"/>
            <w:vAlign w:val="bottom"/>
            <w:tcBorders>
              <w:bottom w:val="single" w:sz="8" w:color="FEFEFE"/>
            </w:tcBorders>
            <w:shd w:val="clear" w:color="auto" w:fill="FEFEFE"/>
          </w:tcPr>
          <w:p>
            <w:pPr>
              <w:spacing w:after="0" w:line="20" w:lineRule="exact"/>
              <w:rPr>
                <w:sz w:val="1"/>
                <w:szCs w:val="1"/>
                <w:color w:val="auto"/>
              </w:rPr>
            </w:pPr>
          </w:p>
        </w:tc>
        <w:tc>
          <w:tcPr>
            <w:tcW w:w="900" w:type="dxa"/>
            <w:vAlign w:val="bottom"/>
            <w:tcBorders>
              <w:bottom w:val="single" w:sz="8" w:color="FEFEFE"/>
            </w:tcBorders>
            <w:vMerge w:val="restart"/>
            <w:shd w:val="clear" w:color="auto" w:fill="FEFEFE"/>
          </w:tcPr>
          <w:p>
            <w:pPr>
              <w:ind w:left="40"/>
              <w:spacing w:after="0"/>
              <w:rPr>
                <w:sz w:val="20"/>
                <w:szCs w:val="20"/>
                <w:color w:val="auto"/>
              </w:rPr>
            </w:pPr>
            <w:r>
              <w:rPr>
                <w:rFonts w:ascii="Arial" w:cs="Arial" w:eastAsia="Arial" w:hAnsi="Arial"/>
                <w:sz w:val="19"/>
                <w:szCs w:val="19"/>
                <w:color w:val="auto"/>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FEFEFE"/>
          </w:tcPr>
          <w:p>
            <w:pPr>
              <w:spacing w:after="0"/>
              <w:rPr>
                <w:sz w:val="20"/>
                <w:szCs w:val="20"/>
                <w:color w:val="auto"/>
              </w:rPr>
            </w:pPr>
          </w:p>
        </w:tc>
        <w:tc>
          <w:tcPr>
            <w:tcW w:w="4820" w:type="dxa"/>
            <w:vAlign w:val="bottom"/>
            <w:shd w:val="clear" w:color="auto" w:fill="FEFEFE"/>
          </w:tcPr>
          <w:p>
            <w:pPr>
              <w:spacing w:after="0"/>
              <w:rPr>
                <w:sz w:val="20"/>
                <w:szCs w:val="20"/>
                <w:color w:val="auto"/>
              </w:rPr>
            </w:pPr>
          </w:p>
        </w:tc>
        <w:tc>
          <w:tcPr>
            <w:tcW w:w="900" w:type="dxa"/>
            <w:vAlign w:val="bottom"/>
            <w:vMerge w:val="continue"/>
            <w:shd w:val="clear" w:color="auto" w:fill="FEFEFE"/>
          </w:tcPr>
          <w:p>
            <w:pPr>
              <w:spacing w:after="0"/>
              <w:rPr>
                <w:sz w:val="20"/>
                <w:szCs w:val="20"/>
                <w:color w:val="auto"/>
              </w:rPr>
            </w:pPr>
          </w:p>
        </w:tc>
        <w:tc>
          <w:tcPr>
            <w:tcW w:w="4380" w:type="dxa"/>
            <w:vAlign w:val="bottom"/>
            <w:shd w:val="clear" w:color="auto" w:fill="FEFEFE"/>
          </w:tcPr>
          <w:p>
            <w:pPr>
              <w:ind w:left="40"/>
              <w:spacing w:after="0"/>
              <w:rPr>
                <w:sz w:val="20"/>
                <w:szCs w:val="20"/>
                <w:color w:val="auto"/>
              </w:rPr>
            </w:pPr>
            <w:r>
              <w:rPr>
                <w:rFonts w:ascii="Arial" w:cs="Arial" w:eastAsia="Arial" w:hAnsi="Arial"/>
                <w:sz w:val="19"/>
                <w:szCs w:val="19"/>
                <w:color w:val="auto"/>
              </w:rPr>
              <w:t>Ajay V. Vashee</w:t>
            </w:r>
          </w:p>
        </w:tc>
        <w:tc>
          <w:tcPr>
            <w:tcW w:w="0" w:type="dxa"/>
            <w:vAlign w:val="bottom"/>
          </w:tcPr>
          <w:p>
            <w:pPr>
              <w:spacing w:after="0"/>
              <w:rPr>
                <w:sz w:val="1"/>
                <w:szCs w:val="1"/>
                <w:color w:val="auto"/>
              </w:rPr>
            </w:pPr>
          </w:p>
        </w:tc>
      </w:tr>
      <w:tr>
        <w:trPr>
          <w:trHeight w:val="250"/>
        </w:trPr>
        <w:tc>
          <w:tcPr>
            <w:tcW w:w="1140" w:type="dxa"/>
            <w:vAlign w:val="bottom"/>
            <w:shd w:val="clear" w:color="auto" w:fill="FEFEFE"/>
          </w:tcPr>
          <w:p>
            <w:pPr>
              <w:spacing w:after="0"/>
              <w:rPr>
                <w:sz w:val="21"/>
                <w:szCs w:val="21"/>
                <w:color w:val="auto"/>
              </w:rPr>
            </w:pPr>
          </w:p>
        </w:tc>
        <w:tc>
          <w:tcPr>
            <w:tcW w:w="4820" w:type="dxa"/>
            <w:vAlign w:val="bottom"/>
            <w:shd w:val="clear" w:color="auto" w:fill="FEFEFE"/>
          </w:tcPr>
          <w:p>
            <w:pPr>
              <w:spacing w:after="0"/>
              <w:rPr>
                <w:sz w:val="21"/>
                <w:szCs w:val="21"/>
                <w:color w:val="auto"/>
              </w:rPr>
            </w:pPr>
          </w:p>
        </w:tc>
        <w:tc>
          <w:tcPr>
            <w:tcW w:w="900" w:type="dxa"/>
            <w:vAlign w:val="bottom"/>
            <w:shd w:val="clear" w:color="auto" w:fill="FEFEFE"/>
          </w:tcPr>
          <w:p>
            <w:pPr>
              <w:ind w:left="40"/>
              <w:spacing w:after="0"/>
              <w:rPr>
                <w:sz w:val="20"/>
                <w:szCs w:val="20"/>
                <w:color w:val="auto"/>
              </w:rPr>
            </w:pPr>
            <w:r>
              <w:rPr>
                <w:rFonts w:ascii="Arial" w:cs="Arial" w:eastAsia="Arial" w:hAnsi="Arial"/>
                <w:sz w:val="19"/>
                <w:szCs w:val="19"/>
                <w:color w:val="auto"/>
              </w:rPr>
              <w:t>Title:</w:t>
            </w:r>
          </w:p>
        </w:tc>
        <w:tc>
          <w:tcPr>
            <w:tcW w:w="4380" w:type="dxa"/>
            <w:vAlign w:val="bottom"/>
            <w:shd w:val="clear" w:color="auto" w:fill="FEFEFE"/>
          </w:tcPr>
          <w:p>
            <w:pPr>
              <w:ind w:left="40"/>
              <w:spacing w:after="0"/>
              <w:rPr>
                <w:sz w:val="20"/>
                <w:szCs w:val="20"/>
                <w:color w:val="auto"/>
              </w:rPr>
            </w:pPr>
            <w:r>
              <w:rPr>
                <w:rFonts w:ascii="Arial" w:cs="Arial" w:eastAsia="Arial" w:hAnsi="Arial"/>
                <w:sz w:val="19"/>
                <w:szCs w:val="19"/>
                <w:color w:val="auto"/>
              </w:rPr>
              <w:t>Chief Financial Officer</w:t>
            </w:r>
          </w:p>
        </w:tc>
        <w:tc>
          <w:tcPr>
            <w:tcW w:w="0" w:type="dxa"/>
            <w:vAlign w:val="bottom"/>
          </w:tcPr>
          <w:p>
            <w:pPr>
              <w:spacing w:after="0"/>
              <w:rPr>
                <w:sz w:val="1"/>
                <w:szCs w:val="1"/>
                <w:color w:val="auto"/>
              </w:rPr>
            </w:pPr>
          </w:p>
        </w:tc>
      </w:tr>
      <w:tr>
        <w:trPr>
          <w:trHeight w:val="254"/>
        </w:trPr>
        <w:tc>
          <w:tcPr>
            <w:tcW w:w="1140" w:type="dxa"/>
            <w:vAlign w:val="bottom"/>
            <w:shd w:val="clear" w:color="auto" w:fill="FEFEFE"/>
          </w:tcPr>
          <w:p>
            <w:pPr>
              <w:spacing w:after="0"/>
              <w:rPr>
                <w:sz w:val="22"/>
                <w:szCs w:val="22"/>
                <w:color w:val="auto"/>
              </w:rPr>
            </w:pPr>
          </w:p>
        </w:tc>
        <w:tc>
          <w:tcPr>
            <w:tcW w:w="4820" w:type="dxa"/>
            <w:vAlign w:val="bottom"/>
            <w:shd w:val="clear" w:color="auto" w:fill="FEFEFE"/>
          </w:tcPr>
          <w:p>
            <w:pPr>
              <w:spacing w:after="0"/>
              <w:rPr>
                <w:sz w:val="22"/>
                <w:szCs w:val="22"/>
                <w:color w:val="auto"/>
              </w:rPr>
            </w:pPr>
          </w:p>
        </w:tc>
        <w:tc>
          <w:tcPr>
            <w:tcW w:w="900" w:type="dxa"/>
            <w:vAlign w:val="bottom"/>
            <w:shd w:val="clear" w:color="auto" w:fill="FEFEFE"/>
          </w:tcPr>
          <w:p>
            <w:pPr>
              <w:spacing w:after="0"/>
              <w:rPr>
                <w:sz w:val="22"/>
                <w:szCs w:val="22"/>
                <w:color w:val="auto"/>
              </w:rPr>
            </w:pPr>
          </w:p>
        </w:tc>
        <w:tc>
          <w:tcPr>
            <w:tcW w:w="4380" w:type="dxa"/>
            <w:vAlign w:val="bottom"/>
            <w:shd w:val="clear" w:color="auto" w:fill="FEFEFE"/>
          </w:tcPr>
          <w:p>
            <w:pPr>
              <w:ind w:left="40"/>
              <w:spacing w:after="0"/>
              <w:rPr>
                <w:sz w:val="20"/>
                <w:szCs w:val="20"/>
                <w:color w:val="auto"/>
              </w:rPr>
            </w:pPr>
            <w:r>
              <w:rPr>
                <w:rFonts w:ascii="Arial" w:cs="Arial" w:eastAsia="Arial" w:hAnsi="Arial"/>
                <w:sz w:val="19"/>
                <w:szCs w:val="19"/>
                <w:color w:val="auto"/>
              </w:rPr>
              <w:t>(Principal Financial Officer)</w:t>
            </w:r>
          </w:p>
        </w:tc>
        <w:tc>
          <w:tcPr>
            <w:tcW w:w="0" w:type="dxa"/>
            <w:vAlign w:val="bottom"/>
          </w:tcPr>
          <w:p>
            <w:pPr>
              <w:spacing w:after="0"/>
              <w:rPr>
                <w:sz w:val="1"/>
                <w:szCs w:val="1"/>
                <w:color w:val="auto"/>
              </w:rPr>
            </w:pPr>
          </w:p>
        </w:tc>
      </w:tr>
      <w:tr>
        <w:trPr>
          <w:trHeight w:val="20"/>
        </w:trPr>
        <w:tc>
          <w:tcPr>
            <w:tcW w:w="1140" w:type="dxa"/>
            <w:vAlign w:val="bottom"/>
            <w:shd w:val="clear" w:color="auto" w:fill="FEFEFE"/>
          </w:tcPr>
          <w:p>
            <w:pPr>
              <w:spacing w:after="0" w:line="20" w:lineRule="exact"/>
              <w:rPr>
                <w:sz w:val="1"/>
                <w:szCs w:val="1"/>
                <w:color w:val="auto"/>
              </w:rPr>
            </w:pPr>
          </w:p>
        </w:tc>
        <w:tc>
          <w:tcPr>
            <w:tcW w:w="4820" w:type="dxa"/>
            <w:vAlign w:val="bottom"/>
            <w:shd w:val="clear" w:color="auto" w:fill="FEFEFE"/>
          </w:tcPr>
          <w:p>
            <w:pPr>
              <w:spacing w:after="0" w:line="20" w:lineRule="exact"/>
              <w:rPr>
                <w:sz w:val="1"/>
                <w:szCs w:val="1"/>
                <w:color w:val="auto"/>
              </w:rPr>
            </w:pPr>
          </w:p>
        </w:tc>
        <w:tc>
          <w:tcPr>
            <w:tcW w:w="900" w:type="dxa"/>
            <w:vAlign w:val="bottom"/>
            <w:shd w:val="clear" w:color="auto" w:fill="FEFEFE"/>
          </w:tcPr>
          <w:p>
            <w:pPr>
              <w:spacing w:after="0" w:line="20" w:lineRule="exact"/>
              <w:rPr>
                <w:sz w:val="1"/>
                <w:szCs w:val="1"/>
                <w:color w:val="auto"/>
              </w:rPr>
            </w:pPr>
          </w:p>
        </w:tc>
        <w:tc>
          <w:tcPr>
            <w:tcW w:w="43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lvl w:ilvl="1">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2"/>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2"/>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2"/>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6"/>
    </w:lvl>
  </w:abstractNum>
  <w:abstractNum w:abstractNumId="38">
    <w:nsid w:val="580BD78F"/>
    <w:multiLevelType w:val="hybridMultilevel"/>
    <w:lvl w:ilvl="0">
      <w:lvlJc w:val="left"/>
      <w:lvlText w:val="%1."/>
      <w:numFmt w:val="decimal"/>
      <w:start w:val="10"/>
    </w:lvl>
  </w:abstractNum>
  <w:abstractNum w:abstractNumId="39">
    <w:nsid w:val="153EA438"/>
    <w:multiLevelType w:val="hybridMultilevel"/>
    <w:lvl w:ilvl="0">
      <w:lvlJc w:val="left"/>
      <w:lvlText w:val="\ldblquote"/>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2020-08-10T06:14:53Z</dcterms:created>
  <dcterms:modified xsi:type="dcterms:W3CDTF">2020-08-10T06:14:53Z</dcterms:modified>
</cp:coreProperties>
</file>