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Regan Timothy</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12/24/2020</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9"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6"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12/24/2020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1,608</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24.89</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320,446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entered into by the Reporting Person.</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August 15, 2024. In the event the Reporting Person ceases to be a Service Provider, the unvested restricted stock awards and restricted stock units will be cancelled by the Issuer.</w:t>
      </w:r>
    </w:p>
    <w:p>
      <w:pPr>
        <w:sectPr>
          <w:pgSz w:w="11900" w:h="16838" w:orient="portrait"/>
          <w:cols w:equalWidth="0" w:num="1">
            <w:col w:w="11080"/>
          </w:cols>
          <w:pgMar w:left="460" w:top="219" w:right="359" w:bottom="1440" w:gutter="0" w:footer="0" w:header="0"/>
          <w:type w:val="continuous"/>
        </w:sectPr>
      </w:pPr>
    </w:p>
    <w:p>
      <w:pPr>
        <w:spacing w:after="0" w:line="1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Bart E. Volkmer,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7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36"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12/29/2020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3444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2020-12-29T17:48:09Z</dcterms:created>
  <dcterms:modified xsi:type="dcterms:W3CDTF">2020-12-29T17:48:09Z</dcterms:modified>
</cp:coreProperties>
</file>