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Form 8-K</w:t>
      </w:r>
    </w:p>
    <w:p>
      <w:pPr>
        <w:spacing w:after="0" w:line="27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2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May 6, 2021</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DROPBOX, INC.</w:t>
      </w:r>
    </w:p>
    <w:p>
      <w:pPr>
        <w:spacing w:after="0" w:line="4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320" w:top="975" w:right="239" w:bottom="1440" w:gutter="0" w:footer="0" w:header="0"/>
        </w:sectPr>
      </w:pPr>
    </w:p>
    <w:p>
      <w:pPr>
        <w:spacing w:after="0" w:line="118" w:lineRule="exact"/>
        <w:rPr>
          <w:sz w:val="24"/>
          <w:szCs w:val="24"/>
          <w:color w:val="auto"/>
        </w:rPr>
      </w:pPr>
    </w:p>
    <w:p>
      <w:pPr>
        <w:jc w:val="center"/>
        <w:ind w:left="80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jc w:val="center"/>
        <w:ind w:left="80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001-38434</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26-0138832</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(I. R. S. Employer Identification No.)</w:t>
      </w:r>
    </w:p>
    <w:p>
      <w:pPr>
        <w:spacing w:after="0" w:line="53" w:lineRule="exact"/>
        <w:rPr>
          <w:sz w:val="24"/>
          <w:szCs w:val="24"/>
          <w:color w:val="auto"/>
        </w:rPr>
      </w:pPr>
    </w:p>
    <w:p>
      <w:pPr>
        <w:sectPr>
          <w:pgSz w:w="11900" w:h="16838" w:orient="portrait"/>
          <w:cols w:equalWidth="0" w:num="3">
            <w:col w:w="3860" w:space="720"/>
            <w:col w:w="2200" w:space="720"/>
            <w:col w:w="3840"/>
          </w:cols>
          <w:pgMar w:left="320" w:top="975" w:right="239" w:bottom="1440" w:gutter="0" w:footer="0" w:header="0"/>
          <w:type w:val="continuous"/>
        </w:sectPr>
      </w:pPr>
    </w:p>
    <w:p>
      <w:pPr>
        <w:ind w:left="178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975" w:right="239" w:bottom="1440" w:gutter="0" w:footer="0" w:header="0"/>
          <w:type w:val="continuous"/>
        </w:sectPr>
      </w:pPr>
    </w:p>
    <w:p>
      <w:pPr>
        <w:spacing w:after="0" w:line="30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220"/>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47"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86995</wp:posOffset>
            </wp:positionV>
            <wp:extent cx="6266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56" w:lineRule="exact"/>
        <w:rPr>
          <w:sz w:val="24"/>
          <w:szCs w:val="24"/>
          <w:color w:val="auto"/>
        </w:rPr>
      </w:pPr>
    </w:p>
    <w:tbl>
      <w:tblPr>
        <w:tblLayout w:type="fixed"/>
        <w:tblInd w:w="7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60" w:type="dxa"/>
            <w:vAlign w:val="bottom"/>
            <w:gridSpan w:val="2"/>
          </w:tcPr>
          <w:p>
            <w:pPr>
              <w:jc w:val="center"/>
              <w:ind w:right="2200"/>
              <w:spacing w:after="0"/>
              <w:rPr>
                <w:sz w:val="20"/>
                <w:szCs w:val="20"/>
                <w:color w:val="auto"/>
              </w:rPr>
            </w:pPr>
            <w:r>
              <w:rPr>
                <w:rFonts w:ascii="Arial" w:cs="Arial" w:eastAsia="Arial" w:hAnsi="Arial"/>
                <w:sz w:val="14"/>
                <w:szCs w:val="14"/>
                <w:b w:val="1"/>
                <w:bCs w:val="1"/>
                <w:color w:val="auto"/>
                <w:w w:val="87"/>
              </w:rPr>
              <w:t>Title of each class</w:t>
            </w:r>
          </w:p>
        </w:tc>
        <w:tc>
          <w:tcPr>
            <w:tcW w:w="26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1"/>
              </w:rPr>
              <w:t>Trading Symbol(s)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195"/>
        </w:trPr>
        <w:tc>
          <w:tcPr>
            <w:tcW w:w="4260" w:type="dxa"/>
            <w:vAlign w:val="bottom"/>
            <w:gridSpan w:val="3"/>
          </w:tcPr>
          <w:p>
            <w:pPr>
              <w:jc w:val="center"/>
              <w:ind w:right="1200"/>
              <w:spacing w:after="0"/>
              <w:rPr>
                <w:sz w:val="20"/>
                <w:szCs w:val="20"/>
                <w:color w:val="auto"/>
              </w:rPr>
            </w:pPr>
            <w:r>
              <w:rPr>
                <w:rFonts w:ascii="Arial" w:cs="Arial" w:eastAsia="Arial" w:hAnsi="Arial"/>
                <w:sz w:val="14"/>
                <w:szCs w:val="14"/>
                <w:color w:val="auto"/>
                <w:w w:val="90"/>
              </w:rPr>
              <w:t>Class A Common Stock, par value $0.00001 per share</w:t>
            </w:r>
          </w:p>
        </w:tc>
        <w:tc>
          <w:tcPr>
            <w:tcW w:w="2680" w:type="dxa"/>
            <w:vAlign w:val="bottom"/>
            <w:gridSpan w:val="2"/>
          </w:tcPr>
          <w:p>
            <w:pPr>
              <w:jc w:val="center"/>
              <w:ind w:right="1580"/>
              <w:spacing w:after="0"/>
              <w:rPr>
                <w:sz w:val="20"/>
                <w:szCs w:val="20"/>
                <w:color w:val="auto"/>
              </w:rPr>
            </w:pPr>
            <w:r>
              <w:rPr>
                <w:rFonts w:ascii="Arial" w:cs="Arial" w:eastAsia="Arial" w:hAnsi="Arial"/>
                <w:sz w:val="14"/>
                <w:szCs w:val="14"/>
                <w:color w:val="auto"/>
              </w:rPr>
              <w:t>DBX</w:t>
            </w:r>
          </w:p>
        </w:tc>
        <w:tc>
          <w:tcPr>
            <w:tcW w:w="2320" w:type="dxa"/>
            <w:vAlign w:val="bottom"/>
          </w:tcPr>
          <w:p>
            <w:pPr>
              <w:jc w:val="center"/>
              <w:spacing w:after="0"/>
              <w:rPr>
                <w:sz w:val="20"/>
                <w:szCs w:val="20"/>
                <w:color w:val="auto"/>
              </w:rPr>
            </w:pPr>
            <w:r>
              <w:rPr>
                <w:rFonts w:ascii="Arial" w:cs="Arial" w:eastAsia="Arial" w:hAnsi="Arial"/>
                <w:sz w:val="14"/>
                <w:szCs w:val="14"/>
                <w:color w:val="auto"/>
                <w:w w:val="96"/>
              </w:rPr>
              <w:t>The NASDAQ Stock Market LLC</w:t>
            </w:r>
          </w:p>
        </w:tc>
      </w:tr>
      <w:tr>
        <w:trPr>
          <w:trHeight w:val="186"/>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1"/>
              </w:rPr>
              <w:t>(Nasdaq Global Select Market)</w:t>
            </w:r>
          </w:p>
        </w:tc>
      </w:tr>
    </w:tbl>
    <w:p>
      <w:pPr>
        <w:spacing w:after="0" w:line="384"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86" w:lineRule="exact"/>
        <w:rPr>
          <w:sz w:val="24"/>
          <w:szCs w:val="24"/>
          <w:color w:val="auto"/>
        </w:rPr>
      </w:pPr>
    </w:p>
    <w:p>
      <w:pPr>
        <w:ind w:right="260"/>
        <w:spacing w:after="0" w:line="25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667385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7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On May 6, 2021, Dropbox, Inc. (“Dropbox” or the "Company") issued a press release and will hold a conference call announcing its financial results for the quarter ended March 31, 2021. A copy of the press release is attached as Exhibit 99.1 to this current report on Form 8-K and is incorporated by reference herein.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51" w:lineRule="exact"/>
        <w:rPr>
          <w:sz w:val="20"/>
          <w:szCs w:val="20"/>
          <w:color w:val="auto"/>
        </w:rPr>
      </w:pPr>
    </w:p>
    <w:p>
      <w:pPr>
        <w:ind w:right="260"/>
        <w:spacing w:after="0" w:line="366" w:lineRule="auto"/>
        <w:rPr>
          <w:sz w:val="20"/>
          <w:szCs w:val="20"/>
          <w:color w:val="auto"/>
        </w:rPr>
      </w:pPr>
      <w:r>
        <w:rPr>
          <w:rFonts w:ascii="Arial" w:cs="Arial" w:eastAsia="Arial" w:hAnsi="Arial"/>
          <w:sz w:val="15"/>
          <w:szCs w:val="15"/>
          <w:color w:val="auto"/>
        </w:rPr>
        <w:t>On May 6, 2021,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138" w:lineRule="exact"/>
        <w:rPr>
          <w:sz w:val="20"/>
          <w:szCs w:val="20"/>
          <w:color w:val="auto"/>
        </w:rPr>
      </w:pPr>
    </w:p>
    <w:p>
      <w:pPr>
        <w:ind w:right="240"/>
        <w:spacing w:after="0" w:line="331" w:lineRule="auto"/>
        <w:rPr>
          <w:sz w:val="20"/>
          <w:szCs w:val="20"/>
          <w:color w:val="auto"/>
        </w:rPr>
      </w:pPr>
      <w:r>
        <w:rPr>
          <w:rFonts w:ascii="Arial" w:cs="Arial" w:eastAsia="Arial" w:hAnsi="Arial"/>
          <w:sz w:val="15"/>
          <w:szCs w:val="15"/>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3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2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24"/>
                <w:szCs w:val="24"/>
                <w:color w:val="auto"/>
              </w:rPr>
            </w:pPr>
          </w:p>
        </w:tc>
        <w:tc>
          <w:tcPr>
            <w:tcW w:w="9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20" w:type="dxa"/>
            <w:vAlign w:val="bottom"/>
          </w:tcPr>
          <w:p>
            <w:pPr>
              <w:spacing w:after="0"/>
              <w:rPr>
                <w:sz w:val="24"/>
                <w:szCs w:val="24"/>
                <w:color w:val="auto"/>
              </w:rPr>
            </w:pPr>
          </w:p>
        </w:tc>
      </w:tr>
      <w:tr>
        <w:trPr>
          <w:trHeight w:val="180"/>
        </w:trPr>
        <w:tc>
          <w:tcPr>
            <w:tcW w:w="1100" w:type="dxa"/>
            <w:vAlign w:val="bottom"/>
            <w:gridSpan w:val="2"/>
          </w:tcPr>
          <w:p>
            <w:pPr>
              <w:jc w:val="right"/>
              <w:ind w:right="291"/>
              <w:spacing w:after="0" w:line="180"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9900" w:type="dxa"/>
            <w:vAlign w:val="bottom"/>
            <w:gridSpan w:val="4"/>
          </w:tcPr>
          <w:p>
            <w:pPr>
              <w:ind w:left="20"/>
              <w:spacing w:after="0" w:line="180"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entitled “Dropbox Announces Fiscal 2021 First Quarter Results" dated May 6, 2021</w:t>
              </w:r>
            </w:hyperlink>
          </w:p>
        </w:tc>
      </w:tr>
      <w:tr>
        <w:trPr>
          <w:trHeight w:val="1208"/>
        </w:trPr>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960" w:type="dxa"/>
            <w:vAlign w:val="bottom"/>
            <w:tcBorders>
              <w:top w:val="single" w:sz="8" w:color="0000FF"/>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p>
      <w:pPr>
        <w:spacing w:after="0" w:line="34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Dropbox, Inc.</w:t>
      </w:r>
    </w:p>
    <w:p>
      <w:pPr>
        <w:spacing w:after="0" w:line="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11430</wp:posOffset>
            </wp:positionV>
            <wp:extent cx="2783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Timothy J. Regan</w:t>
      </w:r>
    </w:p>
    <w:p>
      <w:pPr>
        <w:spacing w:after="0" w:line="1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00"/>
          </w:cols>
          <w:pgMar w:left="320" w:top="878" w:right="479" w:bottom="1440" w:gutter="0" w:footer="0" w:header="0"/>
        </w:sectPr>
      </w:pPr>
    </w:p>
    <w:bookmarkStart w:id="3" w:name="page4"/>
    <w:bookmarkEnd w:id="3"/>
    <w:p>
      <w:pPr>
        <w:ind w:left="3900"/>
        <w:spacing w:after="0"/>
        <w:rPr>
          <w:sz w:val="20"/>
          <w:szCs w:val="20"/>
          <w:color w:val="auto"/>
        </w:rPr>
      </w:pPr>
      <w:r>
        <w:rPr>
          <w:rFonts w:ascii="Arial" w:cs="Arial" w:eastAsia="Arial" w:hAnsi="Arial"/>
          <w:sz w:val="18"/>
          <w:szCs w:val="18"/>
          <w:b w:val="1"/>
          <w:bCs w:val="1"/>
          <w:color w:val="auto"/>
        </w:rPr>
        <w:t>Dropbox Announces Fiscal 2021 First Quarter Results</w:t>
      </w:r>
    </w:p>
    <w:p>
      <w:pPr>
        <w:spacing w:after="0" w:line="251" w:lineRule="exact"/>
        <w:rPr>
          <w:sz w:val="20"/>
          <w:szCs w:val="20"/>
          <w:color w:val="auto"/>
        </w:rPr>
      </w:pPr>
    </w:p>
    <w:p>
      <w:pPr>
        <w:jc w:val="center"/>
        <w:ind w:left="340" w:right="1540"/>
        <w:spacing w:after="0" w:line="256" w:lineRule="auto"/>
        <w:rPr>
          <w:sz w:val="20"/>
          <w:szCs w:val="20"/>
          <w:color w:val="auto"/>
        </w:rPr>
      </w:pPr>
      <w:r>
        <w:rPr>
          <w:rFonts w:ascii="Arial" w:cs="Arial" w:eastAsia="Arial" w:hAnsi="Arial"/>
          <w:sz w:val="18"/>
          <w:szCs w:val="18"/>
          <w:color w:val="auto"/>
        </w:rPr>
        <w:t>First Quarter Revenue of $511.6 Million, Up 12% Year-over-year Net Cash Provided by Operating Activities of $115.7 Million and Free Cash Flow of $108.8 Million GAAP and Non-GAAP Operating Income of $42.5 Million and $148.6 Million, Up 59% and 103% Year-over-year</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SAN FRANCISCO, Calif. </w:t>
      </w:r>
      <w:r>
        <w:rPr>
          <w:rFonts w:ascii="Arial" w:cs="Arial" w:eastAsia="Arial" w:hAnsi="Arial"/>
          <w:sz w:val="15"/>
          <w:szCs w:val="15"/>
          <w:color w:val="auto"/>
        </w:rPr>
        <w:t>- May 6, 2021 - Dropbox, Inc. (NASDAQ: DBX), today announced financial results for its first quarter ended March 31, 2021.</w:t>
      </w:r>
    </w:p>
    <w:p>
      <w:pPr>
        <w:spacing w:after="0" w:line="28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kicked off the year with a profitable Q1, along with strong revenue growth and free cash flow,” said Dropbox Co-Founder and Chief Executive Officer Drew Houston. “We welcomed DocSend to the team, saw great momentum with HelloSign, and continued to make meaningful progress against our 2021 priorities. In this new era of distributed work, we have a big opportunity to deliver more value to our customers and shareholders, and I’m excited for what’s ahead.”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2021 Results</w:t>
      </w:r>
    </w:p>
    <w:p>
      <w:pPr>
        <w:spacing w:after="0" w:line="251" w:lineRule="exact"/>
        <w:rPr>
          <w:sz w:val="20"/>
          <w:szCs w:val="20"/>
          <w:color w:val="auto"/>
        </w:rPr>
      </w:pPr>
    </w:p>
    <w:p>
      <w:pPr>
        <w:ind w:left="640" w:right="340" w:hanging="315"/>
        <w:spacing w:after="0" w:line="270"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revenue was $511.6 million, an increase of 12% from the same period last year. On a constant currency basis, year-over-year growth would have been 11%.</w:t>
      </w:r>
      <w:r>
        <w:rPr>
          <w:rFonts w:ascii="Arial" w:cs="Arial" w:eastAsia="Arial" w:hAnsi="Arial"/>
          <w:sz w:val="23"/>
          <w:szCs w:val="23"/>
          <w:color w:val="auto"/>
          <w:vertAlign w:val="superscript"/>
        </w:rPr>
        <w:t>(1)</w:t>
      </w:r>
    </w:p>
    <w:p>
      <w:pPr>
        <w:spacing w:after="0" w:line="133" w:lineRule="exact"/>
        <w:rPr>
          <w:rFonts w:ascii="Arial" w:cs="Arial" w:eastAsia="Arial" w:hAnsi="Arial"/>
          <w:sz w:val="18"/>
          <w:szCs w:val="18"/>
          <w:color w:val="auto"/>
        </w:rPr>
      </w:pPr>
    </w:p>
    <w:p>
      <w:pPr>
        <w:ind w:left="640" w:right="180" w:hanging="315"/>
        <w:spacing w:after="0" w:line="270"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ARR ended at $2.112 billion, an increase of 13% from the same period last year. On a constant currency basis, Total ARR grew $60.5 million quarter-over-quarter, and year-over-year growth would have been 12%.</w:t>
      </w:r>
      <w:r>
        <w:rPr>
          <w:rFonts w:ascii="Arial" w:cs="Arial" w:eastAsia="Arial" w:hAnsi="Arial"/>
          <w:sz w:val="23"/>
          <w:szCs w:val="23"/>
          <w:color w:val="auto"/>
          <w:vertAlign w:val="superscript"/>
        </w:rPr>
        <w:t>(2)</w:t>
      </w:r>
    </w:p>
    <w:p>
      <w:pPr>
        <w:spacing w:after="0" w:line="133" w:lineRule="exact"/>
        <w:rPr>
          <w:rFonts w:ascii="Arial" w:cs="Arial" w:eastAsia="Arial" w:hAnsi="Arial"/>
          <w:sz w:val="18"/>
          <w:szCs w:val="18"/>
          <w:color w:val="auto"/>
        </w:rPr>
      </w:pPr>
    </w:p>
    <w:p>
      <w:pPr>
        <w:ind w:left="640" w:right="28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Paying users ended at 15.83 million, as compared to 14.59 million for the same period last year. Average revenue per paying user was $132.55, as compared to $126.30 for the same period last year.</w:t>
      </w:r>
    </w:p>
    <w:p>
      <w:pPr>
        <w:spacing w:after="0" w:line="206" w:lineRule="exact"/>
        <w:rPr>
          <w:rFonts w:ascii="Arial" w:cs="Arial" w:eastAsia="Arial" w:hAnsi="Arial"/>
          <w:sz w:val="18"/>
          <w:szCs w:val="18"/>
          <w:color w:val="auto"/>
        </w:rPr>
      </w:pPr>
    </w:p>
    <w:p>
      <w:pPr>
        <w:ind w:left="640" w:right="14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gross margin was 78.6%, as compared to 77.3% in the same period last year. Non-GAAP gross margin was 80.2%, as compared to 78.3% in the same period last year.</w:t>
      </w:r>
    </w:p>
    <w:p>
      <w:pPr>
        <w:spacing w:after="0" w:line="206" w:lineRule="exact"/>
        <w:rPr>
          <w:rFonts w:ascii="Arial" w:cs="Arial" w:eastAsia="Arial" w:hAnsi="Arial"/>
          <w:sz w:val="18"/>
          <w:szCs w:val="18"/>
          <w:color w:val="auto"/>
        </w:rPr>
      </w:pPr>
    </w:p>
    <w:p>
      <w:pPr>
        <w:ind w:left="640" w:right="42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operating margin was 8.3%, as compared to 5.9% in the same period last year. Non-GAAP operating margin was 29.1%, as compared to 16.1% in the same period last year.</w:t>
      </w:r>
    </w:p>
    <w:p>
      <w:pPr>
        <w:spacing w:after="0" w:line="206" w:lineRule="exact"/>
        <w:rPr>
          <w:rFonts w:ascii="Arial" w:cs="Arial" w:eastAsia="Arial" w:hAnsi="Arial"/>
          <w:sz w:val="18"/>
          <w:szCs w:val="18"/>
          <w:color w:val="auto"/>
        </w:rPr>
      </w:pPr>
    </w:p>
    <w:p>
      <w:pPr>
        <w:ind w:left="640" w:right="44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net income was $47.6 million, as compared to $39.3 million in the same period last year. Non-GAAP net income was $141.8 million, as compared to $69.8 million in the same period last year.</w:t>
      </w:r>
    </w:p>
    <w:p>
      <w:pPr>
        <w:spacing w:after="0" w:line="206" w:lineRule="exact"/>
        <w:rPr>
          <w:rFonts w:ascii="Arial" w:cs="Arial" w:eastAsia="Arial" w:hAnsi="Arial"/>
          <w:sz w:val="18"/>
          <w:szCs w:val="18"/>
          <w:color w:val="auto"/>
        </w:rPr>
      </w:pPr>
    </w:p>
    <w:p>
      <w:pPr>
        <w:ind w:left="640" w:right="18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was $115.7 million, as compared to $53.3 million in the same period last year. Free cash flow was $108.8 million, as compared to $25.5 million in the same period last year.</w:t>
      </w:r>
    </w:p>
    <w:p>
      <w:pPr>
        <w:spacing w:after="0" w:line="206" w:lineRule="exact"/>
        <w:rPr>
          <w:rFonts w:ascii="Arial" w:cs="Arial" w:eastAsia="Arial" w:hAnsi="Arial"/>
          <w:sz w:val="18"/>
          <w:szCs w:val="18"/>
          <w:color w:val="auto"/>
        </w:rPr>
      </w:pPr>
    </w:p>
    <w:p>
      <w:pPr>
        <w:ind w:left="640" w:right="340" w:hanging="315"/>
        <w:spacing w:after="0" w:line="365" w:lineRule="auto"/>
        <w:tabs>
          <w:tab w:leader="none" w:pos="635" w:val="left"/>
        </w:tabs>
        <w:numPr>
          <w:ilvl w:val="1"/>
          <w:numId w:val="2"/>
        </w:numPr>
        <w:rPr>
          <w:rFonts w:ascii="Arial" w:cs="Arial" w:eastAsia="Arial" w:hAnsi="Arial"/>
          <w:sz w:val="15"/>
          <w:szCs w:val="15"/>
          <w:color w:val="auto"/>
        </w:rPr>
      </w:pPr>
      <w:r>
        <w:rPr>
          <w:rFonts w:ascii="Arial" w:cs="Arial" w:eastAsia="Arial" w:hAnsi="Arial"/>
          <w:sz w:val="15"/>
          <w:szCs w:val="15"/>
          <w:color w:val="auto"/>
        </w:rPr>
        <w:t>GAAP basic and diluted net income per share attributable to common stockholders was $0.12, as compared to $0.09 in the same period last year. Non-GAAP diluted net income per share attributable to common stockholders was $0.35, as compared to $0.17 in the same period last year.</w:t>
      </w:r>
      <w:r>
        <w:rPr>
          <w:rFonts w:ascii="Arial" w:cs="Arial" w:eastAsia="Arial" w:hAnsi="Arial"/>
          <w:sz w:val="19"/>
          <w:szCs w:val="19"/>
          <w:color w:val="auto"/>
          <w:vertAlign w:val="superscript"/>
        </w:rPr>
        <w:t>(3)</w:t>
      </w:r>
    </w:p>
    <w:p>
      <w:pPr>
        <w:spacing w:after="0" w:line="69" w:lineRule="exact"/>
        <w:rPr>
          <w:rFonts w:ascii="Arial" w:cs="Arial" w:eastAsia="Arial" w:hAnsi="Arial"/>
          <w:sz w:val="15"/>
          <w:szCs w:val="15"/>
          <w:color w:val="auto"/>
        </w:rPr>
      </w:pPr>
    </w:p>
    <w:p>
      <w:pPr>
        <w:ind w:left="640" w:hanging="315"/>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Cash, cash equivalents and short-term investments ended at $1.916 billion.</w:t>
      </w:r>
    </w:p>
    <w:p>
      <w:pPr>
        <w:spacing w:after="0" w:line="244" w:lineRule="exact"/>
        <w:rPr>
          <w:rFonts w:ascii="Arial" w:cs="Arial" w:eastAsia="Arial" w:hAnsi="Arial"/>
          <w:sz w:val="18"/>
          <w:szCs w:val="18"/>
          <w:color w:val="auto"/>
        </w:rPr>
      </w:pPr>
    </w:p>
    <w:p>
      <w:pPr>
        <w:ind w:left="640" w:hanging="315"/>
        <w:spacing w:after="0" w:line="252"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During the quarter we completed an offering for $1.389 billion of zero-coupon convertible senior notes, which included the exercise of the over-allotment options. This consisted of $695.8 million of convertible senior notes that mature in 2026 and $693.3 million of convertible senior notes that mature in 2028. After deducting the net costs of related hedge and warrant transactions and certain offering expenses, total net proceeds from the offering were $1.305 billion.</w:t>
      </w:r>
    </w:p>
    <w:p>
      <w:pPr>
        <w:spacing w:after="0" w:line="219" w:lineRule="exact"/>
        <w:rPr>
          <w:rFonts w:ascii="Arial" w:cs="Arial" w:eastAsia="Arial" w:hAnsi="Arial"/>
          <w:sz w:val="18"/>
          <w:szCs w:val="18"/>
          <w:color w:val="auto"/>
        </w:rPr>
      </w:pPr>
    </w:p>
    <w:p>
      <w:pPr>
        <w:ind w:left="160" w:hanging="154"/>
        <w:spacing w:after="0"/>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We calculate constant currency revenue growth rates by applying the prior period weighted average exchange rates to current period results.</w:t>
      </w:r>
    </w:p>
    <w:p>
      <w:pPr>
        <w:spacing w:after="0" w:line="220" w:lineRule="exact"/>
        <w:rPr>
          <w:rFonts w:ascii="Arial" w:cs="Arial" w:eastAsia="Arial" w:hAnsi="Arial"/>
          <w:sz w:val="18"/>
          <w:szCs w:val="18"/>
          <w:color w:val="auto"/>
          <w:vertAlign w:val="superscript"/>
        </w:rPr>
      </w:pPr>
    </w:p>
    <w:p>
      <w:pPr>
        <w:ind w:right="140" w:firstLine="6"/>
        <w:spacing w:after="0" w:line="296" w:lineRule="auto"/>
        <w:tabs>
          <w:tab w:leader="none" w:pos="147" w:val="left"/>
        </w:tabs>
        <w:numPr>
          <w:ilvl w:val="0"/>
          <w:numId w:val="2"/>
        </w:numPr>
        <w:rPr>
          <w:rFonts w:ascii="Arial" w:cs="Arial" w:eastAsia="Arial" w:hAnsi="Arial"/>
          <w:sz w:val="17"/>
          <w:szCs w:val="17"/>
          <w:color w:val="auto"/>
          <w:vertAlign w:val="superscript"/>
        </w:rPr>
      </w:pPr>
      <w:r>
        <w:rPr>
          <w:rFonts w:ascii="Arial" w:cs="Arial" w:eastAsia="Arial" w:hAnsi="Arial"/>
          <w:sz w:val="13"/>
          <w:szCs w:val="13"/>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rate to prior period results.</w:t>
      </w:r>
    </w:p>
    <w:p>
      <w:pPr>
        <w:spacing w:after="0" w:line="187" w:lineRule="exact"/>
        <w:rPr>
          <w:rFonts w:ascii="Arial" w:cs="Arial" w:eastAsia="Arial" w:hAnsi="Arial"/>
          <w:sz w:val="17"/>
          <w:szCs w:val="17"/>
          <w:color w:val="auto"/>
          <w:vertAlign w:val="superscript"/>
        </w:rPr>
      </w:pPr>
    </w:p>
    <w:p>
      <w:pPr>
        <w:ind w:right="160" w:firstLine="6"/>
        <w:spacing w:after="0" w:line="281" w:lineRule="auto"/>
        <w:tabs>
          <w:tab w:leader="none" w:pos="163" w:val="left"/>
        </w:tabs>
        <w:numPr>
          <w:ilvl w:val="0"/>
          <w:numId w:val="2"/>
        </w:numPr>
        <w:rPr>
          <w:rFonts w:ascii="Arial" w:cs="Arial" w:eastAsia="Arial" w:hAnsi="Arial"/>
          <w:sz w:val="19"/>
          <w:szCs w:val="19"/>
          <w:color w:val="auto"/>
          <w:vertAlign w:val="superscript"/>
        </w:rPr>
      </w:pPr>
      <w:r>
        <w:rPr>
          <w:rFonts w:ascii="Arial" w:cs="Arial" w:eastAsia="Arial" w:hAnsi="Arial"/>
          <w:sz w:val="13"/>
          <w:szCs w:val="13"/>
          <w:color w:val="auto"/>
        </w:rPr>
        <w:t xml:space="preserve">Non-GAAP diluted net income per share attributable to common stockholders is calculated based upon 405.4 million and 419.3 million diluted weighted-average shares of common stock for the three months ended </w:t>
      </w:r>
      <w:r>
        <w:rPr>
          <w:rFonts w:ascii="Arial" w:cs="Arial" w:eastAsia="Arial" w:hAnsi="Arial"/>
          <w:sz w:val="14"/>
          <w:szCs w:val="14"/>
          <w:color w:val="auto"/>
        </w:rPr>
        <w:t>March 31,</w:t>
      </w:r>
      <w:r>
        <w:rPr>
          <w:rFonts w:ascii="Arial" w:cs="Arial" w:eastAsia="Arial" w:hAnsi="Arial"/>
          <w:sz w:val="13"/>
          <w:szCs w:val="13"/>
          <w:color w:val="auto"/>
        </w:rPr>
        <w:t xml:space="preserve"> 2021 and 2020, respectively.</w:t>
      </w:r>
    </w:p>
    <w:p>
      <w:pPr>
        <w:sectPr>
          <w:pgSz w:w="11900" w:h="16838" w:orient="portrait"/>
          <w:cols w:equalWidth="0" w:num="1">
            <w:col w:w="11240"/>
          </w:cols>
          <w:pgMar w:left="320" w:top="87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DocSend Acquisition</w:t>
      </w:r>
    </w:p>
    <w:p>
      <w:pPr>
        <w:spacing w:after="0" w:line="2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Dropbox completed the acquisition of DocSend, Inc., which enables companies to share business-critical documents with ease and get real-time actionable feedback, on March 22, 2021 for approximately $165 million, consisting primarily of cash payments, subject to customary purchase price adjustments. Of the approximately $165 million of consideration, $30.7 million is subject to ongoing employee service. The combination of Dropbox, HelloSign, and DocSend will help customers across industries manage end-to-end document workflows—from closing deals to onboarding teams—giving them more control over their business results.</w:t>
      </w:r>
    </w:p>
    <w:p>
      <w:pPr>
        <w:sectPr>
          <w:pgSz w:w="11900" w:h="16838" w:orient="portrait"/>
          <w:cols w:equalWidth="0" w:num="1">
            <w:col w:w="11180"/>
          </w:cols>
          <w:pgMar w:left="320" w:top="1117"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Outlook</w:t>
      </w:r>
    </w:p>
    <w:p>
      <w:pPr>
        <w:spacing w:after="0" w:line="251"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 xml:space="preserve">Dropbox will provide forward-looking guidance in connection with this quarterly earnings announcement on its conference call, webcast, and on its investor relations website at </w:t>
      </w:r>
      <w:r>
        <w:rPr>
          <w:rFonts w:ascii="Arial" w:cs="Arial" w:eastAsia="Arial" w:hAnsi="Arial"/>
          <w:sz w:val="18"/>
          <w:szCs w:val="18"/>
          <w:u w:val="single" w:color="auto"/>
          <w:color w:val="auto"/>
        </w:rPr>
        <w:t>http://investors.dropbox.com</w:t>
      </w:r>
      <w:r>
        <w:rPr>
          <w:rFonts w:ascii="Arial" w:cs="Arial" w:eastAsia="Arial" w:hAnsi="Arial"/>
          <w:sz w:val="18"/>
          <w:szCs w:val="18"/>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Dropbox plans to host a conference call today to review its first quarter financial results and to discuss its financial outlook. This call is scheduled to begin at 2:00 p.m. PT / 5:00 p.m. ET and can be accessed by dialing (877) 300-7844 from the United States or (786) 815-8440 internationally with reference to the company name and conference title, and a live webcast and replay of the conference call can be accessed from the Dropbox investor relations website at </w:t>
      </w:r>
      <w:r>
        <w:rPr>
          <w:rFonts w:ascii="Arial" w:cs="Arial" w:eastAsia="Arial" w:hAnsi="Arial"/>
          <w:sz w:val="17"/>
          <w:szCs w:val="17"/>
          <w:u w:val="single" w:color="auto"/>
          <w:color w:val="auto"/>
        </w:rPr>
        <w:t>http://investors.dropbox.com</w:t>
      </w:r>
      <w:r>
        <w:rPr>
          <w:rFonts w:ascii="Arial" w:cs="Arial" w:eastAsia="Arial" w:hAnsi="Arial"/>
          <w:sz w:val="17"/>
          <w:szCs w:val="17"/>
          <w:color w:val="auto"/>
        </w:rPr>
        <w:t>. Following the completion of the call, a telephonic replay will be available through 11:59 PM ET on May 13, 2021 at (855) 859-2056 from the United States or (404) 537-3406 internationally with recording access code 6093433.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Upcoming Events</w:t>
      </w:r>
    </w:p>
    <w:p>
      <w:pPr>
        <w:spacing w:after="0" w:line="251"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color w:val="auto"/>
        </w:rPr>
        <w:t>Drew Houston, Co-founder and Chief Executive Officer, and Tim Regan, Chief Financial Officer, will be presenting at the J.P. Morgan 49th Annual Global Technology, Media and Communications Conference on Monday, May 24, 2021 at 10:15 a.m. PT.</w:t>
      </w:r>
    </w:p>
    <w:p>
      <w:pPr>
        <w:spacing w:after="0" w:line="207" w:lineRule="exact"/>
        <w:rPr>
          <w:sz w:val="20"/>
          <w:szCs w:val="20"/>
          <w:color w:val="auto"/>
        </w:rPr>
      </w:pPr>
    </w:p>
    <w:p>
      <w:pPr>
        <w:ind w:right="3860"/>
        <w:spacing w:after="0" w:line="366" w:lineRule="auto"/>
        <w:rPr>
          <w:sz w:val="20"/>
          <w:szCs w:val="20"/>
          <w:color w:val="auto"/>
        </w:rPr>
      </w:pPr>
      <w:r>
        <w:rPr>
          <w:rFonts w:ascii="Arial" w:cs="Arial" w:eastAsia="Arial" w:hAnsi="Arial"/>
          <w:sz w:val="15"/>
          <w:szCs w:val="15"/>
          <w:color w:val="auto"/>
        </w:rPr>
        <w:t xml:space="preserve">During these events, a live webcast will be accessible from the Dropbox investor relations website at </w:t>
      </w:r>
      <w:r>
        <w:rPr>
          <w:rFonts w:ascii="Arial" w:cs="Arial" w:eastAsia="Arial" w:hAnsi="Arial"/>
          <w:sz w:val="15"/>
          <w:szCs w:val="15"/>
          <w:u w:val="single" w:color="auto"/>
          <w:color w:val="auto"/>
        </w:rPr>
        <w:t>http://investors.dropbox.com</w:t>
      </w:r>
      <w:r>
        <w:rPr>
          <w:rFonts w:ascii="Arial" w:cs="Arial" w:eastAsia="Arial" w:hAnsi="Arial"/>
          <w:sz w:val="15"/>
          <w:szCs w:val="15"/>
          <w:color w:val="auto"/>
        </w:rPr>
        <w:t>. Following the event, a replay will be made available at the same location.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Dropbox</w:t>
      </w:r>
    </w:p>
    <w:p>
      <w:pPr>
        <w:spacing w:after="0" w:line="2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Dropbox is the one place to keep life organized and keep work moving. With more than 700 million registered users across 180 countries, we're on a mission to design a more enlightened way of working. Dropbox is headquartered in San Francisco, CA, and has offices around the world. For more information on our mission and products, visit </w:t>
      </w:r>
      <w:r>
        <w:rPr>
          <w:rFonts w:ascii="Arial" w:cs="Arial" w:eastAsia="Arial" w:hAnsi="Arial"/>
          <w:sz w:val="18"/>
          <w:szCs w:val="18"/>
          <w:u w:val="single" w:color="auto"/>
          <w:color w:val="auto"/>
        </w:rPr>
        <w:t>http://dropbox.com</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51"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1"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including, among other things, our expectations regarding remote work trends, related market opportunities and our ability to capitalize on those opportunities and expected benefits related to our acquisition of DocSend. Words such as "believe," "may," "will," "estimate," "continue," "anticipate," "intend," "expect," "plans," and similar expressions are intended to identify forward-looking statements. Dropbox has based these forward-looking statements largely on its current expectations and projections about future events and financial trends that Dropbox believes may affect its business, financial condition, and results of operations. These forward-looking statements speak only as of the date of this press release and are subject to risks, uncertainties, and assumptions including, but not limited to:</w:t>
      </w:r>
    </w:p>
    <w:p>
      <w:pPr>
        <w:spacing w:after="0" w:line="1" w:lineRule="exact"/>
        <w:rPr>
          <w:sz w:val="20"/>
          <w:szCs w:val="20"/>
          <w:color w:val="auto"/>
        </w:rPr>
      </w:pPr>
    </w:p>
    <w:p>
      <w:pPr>
        <w:ind w:firstLine="6"/>
        <w:spacing w:after="0" w:line="295" w:lineRule="auto"/>
        <w:tabs>
          <w:tab w:leader="none" w:pos="211"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realize anticipated benefits to our business from our shift to a Virtual First work model as well as impacts to our financial results and business operations as a result of this shift, (ii) impacts to our financial results, business operations and the business of our customers, suppliers, partners and the economy as a result of the COVID-19 pandemic, and related public health measures, as well as the potential for a more permanent global shift to remote work, (iii) our ability to retain and upgrade paying users, in particular paying users impacted by the COVID-19 pandemic, and increase our recurring revenue;</w:t>
      </w:r>
    </w:p>
    <w:p>
      <w:pPr>
        <w:spacing w:after="0" w:line="1" w:lineRule="exact"/>
        <w:rPr>
          <w:rFonts w:ascii="Arial" w:cs="Arial" w:eastAsia="Arial" w:hAnsi="Arial"/>
          <w:sz w:val="15"/>
          <w:szCs w:val="15"/>
          <w:color w:val="auto"/>
        </w:rPr>
      </w:pPr>
    </w:p>
    <w:p>
      <w:pPr>
        <w:ind w:right="20" w:firstLine="6"/>
        <w:spacing w:after="0" w:line="303" w:lineRule="auto"/>
        <w:tabs>
          <w:tab w:leader="none" w:pos="30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attract new users or convert registered users to paying users, in particular prospective paying users financially impacted by the COVID-19 pandemic; (v) our future financial performance, including trends in revenue, costs of revenue, gross profit or gross margin, operating expenses, paying users, and free cash flow; (vi) our history of net losses and our ability to achieve or maintain profitability; (vii) our liability for any unauthorized access to our data or our users’ content, including through privacy and data security breaches; (viii) significant disruption of service on our platform or loss of content, particularly from any potential disruptions in the supply chain for hardware necessary to offer our services that may result from the COVID-19 pandemic; (ix) any decline in demand for our platform or for content collaboration solutions in general; (x) changes in the interoperability of our platform across devices, operating systems, and third-party applications that we do not control; (xi) competition in our markets; (xii) our ability to respond to rapid technological changes, extend our platform, develop new features or products, or gain market acceptance for such new features</w:t>
      </w:r>
    </w:p>
    <w:p>
      <w:pPr>
        <w:sectPr>
          <w:pgSz w:w="11900" w:h="16838" w:orient="portrait"/>
          <w:cols w:equalWidth="0" w:num="1">
            <w:col w:w="11220"/>
          </w:cols>
          <w:pgMar w:left="320" w:top="878" w:right="359" w:bottom="1440" w:gutter="0" w:footer="0" w:header="0"/>
        </w:sectPr>
      </w:pPr>
    </w:p>
    <w:bookmarkStart w:id="6" w:name="page7"/>
    <w:bookmarkEnd w:id="6"/>
    <w:p>
      <w:pPr>
        <w:spacing w:after="0"/>
        <w:rPr>
          <w:sz w:val="20"/>
          <w:szCs w:val="20"/>
          <w:color w:val="auto"/>
        </w:rPr>
      </w:pPr>
      <w:r>
        <w:rPr>
          <w:rFonts w:ascii="Arial" w:cs="Arial" w:eastAsia="Arial" w:hAnsi="Arial"/>
          <w:sz w:val="15"/>
          <w:szCs w:val="15"/>
          <w:color w:val="auto"/>
        </w:rPr>
        <w:t>or products, particularly in light of potential disruptions to the productivity of our employees that may result from our shift to a Virtual First work model;</w:t>
      </w:r>
    </w:p>
    <w:p>
      <w:pPr>
        <w:spacing w:after="0" w:line="51" w:lineRule="exact"/>
        <w:rPr>
          <w:sz w:val="20"/>
          <w:szCs w:val="20"/>
          <w:color w:val="auto"/>
        </w:rPr>
      </w:pPr>
    </w:p>
    <w:p>
      <w:pPr>
        <w:ind w:firstLine="6"/>
        <w:spacing w:after="0" w:line="263" w:lineRule="auto"/>
        <w:tabs>
          <w:tab w:leader="none" w:pos="398"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manage our growth or plan for future growth; (xiv) our acquisition of other businesses and the potential of such acquisitions to require significant management attention, disrupt our business, or dilute stockholder value; (xv) our ability to attract and retain key personnel and highly qualified personnel; (xvi) our capital allocation plans with respect to our stock repurchase program and other investments; and (xvii)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10-K for the year ended December 31, 2020. Additional information will be made available in our quarterly report on Form 10-Q for the quarter ended March 31, 2021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120"/>
          </w:cols>
          <w:pgMar w:left="320" w:top="884" w:right="459" w:bottom="1440" w:gutter="0" w:footer="0" w:header="0"/>
        </w:sectPr>
      </w:pPr>
    </w:p>
    <w:bookmarkStart w:id="7" w:name="page8"/>
    <w:bookmarkEnd w:id="7"/>
    <w:p>
      <w:pPr>
        <w:jc w:val="center"/>
        <w:ind w:right="-573"/>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ind w:right="-573"/>
        <w:spacing w:after="0"/>
        <w:rPr>
          <w:sz w:val="20"/>
          <w:szCs w:val="20"/>
          <w:color w:val="auto"/>
        </w:rPr>
      </w:pPr>
      <w:r>
        <w:rPr>
          <w:rFonts w:ascii="Arial" w:cs="Arial" w:eastAsia="Arial" w:hAnsi="Arial"/>
          <w:sz w:val="21"/>
          <w:szCs w:val="21"/>
          <w:b w:val="1"/>
          <w:bCs w:val="1"/>
          <w:color w:val="auto"/>
        </w:rPr>
        <w:t>Condensed Consolidated Statements of Operations</w:t>
      </w:r>
    </w:p>
    <w:p>
      <w:pPr>
        <w:spacing w:after="0" w:line="3" w:lineRule="exact"/>
        <w:rPr>
          <w:sz w:val="20"/>
          <w:szCs w:val="20"/>
          <w:color w:val="auto"/>
        </w:rPr>
      </w:pPr>
    </w:p>
    <w:p>
      <w:pPr>
        <w:jc w:val="center"/>
        <w:ind w:right="-573"/>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ind w:right="-573"/>
        <w:spacing w:after="0"/>
        <w:rPr>
          <w:sz w:val="20"/>
          <w:szCs w:val="20"/>
          <w:color w:val="auto"/>
        </w:rPr>
      </w:pPr>
      <w:r>
        <w:rPr>
          <w:rFonts w:ascii="Arial" w:cs="Arial" w:eastAsia="Arial" w:hAnsi="Arial"/>
          <w:sz w:val="18"/>
          <w:szCs w:val="18"/>
          <w:i w:val="1"/>
          <w:iCs w:val="1"/>
          <w:color w:val="auto"/>
        </w:rPr>
        <w:t>(Unaudited)</w:t>
      </w:r>
    </w:p>
    <w:p>
      <w:pPr>
        <w:spacing w:after="0" w:line="107" w:lineRule="exact"/>
        <w:rPr>
          <w:sz w:val="20"/>
          <w:szCs w:val="20"/>
          <w:color w:val="auto"/>
        </w:rPr>
      </w:pPr>
    </w:p>
    <w:p>
      <w:pPr>
        <w:jc w:val="center"/>
        <w:ind w:left="4520"/>
        <w:spacing w:after="0"/>
        <w:rPr>
          <w:sz w:val="20"/>
          <w:szCs w:val="20"/>
          <w:color w:val="auto"/>
        </w:rPr>
      </w:pPr>
      <w:r>
        <w:rPr>
          <w:rFonts w:ascii="Arial" w:cs="Arial" w:eastAsia="Arial" w:hAnsi="Arial"/>
          <w:sz w:val="18"/>
          <w:szCs w:val="18"/>
          <w:b w:val="1"/>
          <w:bCs w:val="1"/>
          <w:color w:val="auto"/>
        </w:rPr>
        <w:t>Three Months Ended</w:t>
      </w:r>
    </w:p>
    <w:p>
      <w:pPr>
        <w:jc w:val="center"/>
        <w:ind w:left="4520"/>
        <w:spacing w:after="0"/>
        <w:rPr>
          <w:sz w:val="20"/>
          <w:szCs w:val="20"/>
          <w:color w:val="auto"/>
        </w:rPr>
      </w:pPr>
      <w:r>
        <w:rPr>
          <w:rFonts w:ascii="Arial" w:cs="Arial" w:eastAsia="Arial" w:hAnsi="Arial"/>
          <w:sz w:val="18"/>
          <w:szCs w:val="18"/>
          <w:b w:val="1"/>
          <w:bCs w:val="1"/>
          <w:color w:val="auto"/>
        </w:rPr>
        <w:t>March 31,</w:t>
      </w:r>
    </w:p>
    <w:p>
      <w:pPr>
        <w:spacing w:after="0" w:line="3" w:lineRule="exact"/>
        <w:rPr>
          <w:sz w:val="20"/>
          <w:szCs w:val="20"/>
          <w:color w:val="auto"/>
        </w:rPr>
      </w:pPr>
    </w:p>
    <w:tbl>
      <w:tblPr>
        <w:tblLayout w:type="fixed"/>
        <w:tblInd w:w="1494" w:type="dxa"/>
        <w:tblCellMar>
          <w:top w:w="0" w:type="dxa"/>
          <w:left w:w="0" w:type="dxa"/>
          <w:bottom w:w="0" w:type="dxa"/>
          <w:right w:w="0" w:type="dxa"/>
        </w:tblCellMar>
      </w:tblPr>
      <w:tr>
        <w:trPr>
          <w:trHeight w:val="220"/>
        </w:trPr>
        <w:tc>
          <w:tcPr>
            <w:tcW w:w="454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0" w:type="dxa"/>
            <w:vAlign w:val="bottom"/>
            <w:shd w:val="clear" w:color="auto" w:fill="CCEEFF"/>
          </w:tcPr>
          <w:p>
            <w:pPr>
              <w:jc w:val="right"/>
              <w:ind w:right="101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26"/>
        </w:trPr>
        <w:tc>
          <w:tcPr>
            <w:tcW w:w="4540" w:type="dxa"/>
            <w:vAlign w:val="bottom"/>
            <w:tcBorders>
              <w:bottom w:val="single" w:sz="8" w:color="CCEEFF"/>
            </w:tcBorders>
          </w:tcPr>
          <w:p>
            <w:pPr>
              <w:ind w:left="260"/>
              <w:spacing w:after="0" w:line="225"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26"/>
        </w:trPr>
        <w:tc>
          <w:tcPr>
            <w:tcW w:w="4540" w:type="dxa"/>
            <w:vAlign w:val="bottom"/>
          </w:tcPr>
          <w:p>
            <w:pPr>
              <w:ind w:left="20"/>
              <w:spacing w:after="0" w:line="225"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25"/>
        </w:trPr>
        <w:tc>
          <w:tcPr>
            <w:tcW w:w="45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Impairment related to real estate assets</w:t>
            </w: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18"/>
        </w:trPr>
        <w:tc>
          <w:tcPr>
            <w:tcW w:w="45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5"/>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0" w:type="dxa"/>
            <w:vAlign w:val="bottom"/>
            <w:tcBorders>
              <w:bottom w:val="single" w:sz="8" w:color="auto"/>
            </w:tcBorders>
            <w:shd w:val="clear" w:color="auto" w:fill="CCEEFF"/>
          </w:tcPr>
          <w:p>
            <w:pPr>
              <w:jc w:val="right"/>
              <w:ind w:right="101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share-basic and diluted:</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54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share</w:t>
            </w:r>
          </w:p>
        </w:tc>
        <w:tc>
          <w:tcPr>
            <w:tcW w:w="1200" w:type="dxa"/>
            <w:vAlign w:val="bottom"/>
            <w:tcBorders>
              <w:bottom w:val="single" w:sz="8" w:color="auto"/>
            </w:tcBorders>
            <w:shd w:val="clear" w:color="auto" w:fill="CCEEFF"/>
          </w:tcPr>
          <w:p>
            <w:pPr>
              <w:jc w:val="right"/>
              <w:ind w:right="101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540" w:type="dxa"/>
            <w:vAlign w:val="bottom"/>
          </w:tcPr>
          <w:p>
            <w:pPr>
              <w:ind w:left="20"/>
              <w:spacing w:after="0" w:line="199" w:lineRule="exact"/>
              <w:rPr>
                <w:sz w:val="20"/>
                <w:szCs w:val="20"/>
                <w:color w:val="auto"/>
              </w:rPr>
            </w:pPr>
            <w:r>
              <w:rPr>
                <w:rFonts w:ascii="Arial" w:cs="Arial" w:eastAsia="Arial" w:hAnsi="Arial"/>
                <w:sz w:val="18"/>
                <w:szCs w:val="18"/>
                <w:color w:val="auto"/>
              </w:rPr>
              <w:t>Diluted net income per share</w:t>
            </w:r>
          </w:p>
        </w:tc>
        <w:tc>
          <w:tcPr>
            <w:tcW w:w="1200" w:type="dxa"/>
            <w:vAlign w:val="bottom"/>
            <w:tcBorders>
              <w:bottom w:val="single" w:sz="8" w:color="auto"/>
            </w:tcBorders>
          </w:tcPr>
          <w:p>
            <w:pPr>
              <w:jc w:val="right"/>
              <w:ind w:right="1011"/>
              <w:spacing w:after="0" w:line="199"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0.12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1"/>
              <w:spacing w:after="0" w:line="199"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54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Weighted-average shares used in computing net income per</w:t>
            </w:r>
          </w:p>
        </w:tc>
        <w:tc>
          <w:tcPr>
            <w:tcW w:w="12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0" w:type="dxa"/>
            <w:vAlign w:val="bottom"/>
          </w:tcPr>
          <w:p>
            <w:pPr>
              <w:spacing w:after="0"/>
              <w:rPr>
                <w:sz w:val="1"/>
                <w:szCs w:val="1"/>
                <w:color w:val="auto"/>
              </w:rPr>
            </w:pPr>
          </w:p>
        </w:tc>
      </w:tr>
      <w:tr>
        <w:trPr>
          <w:trHeight w:val="218"/>
        </w:trPr>
        <w:tc>
          <w:tcPr>
            <w:tcW w:w="4540" w:type="dxa"/>
            <w:vAlign w:val="bottom"/>
            <w:tcBorders>
              <w:bottom w:val="single" w:sz="8" w:color="CCEEFF"/>
            </w:tcBorders>
            <w:shd w:val="clear" w:color="auto" w:fill="CCEEFF"/>
          </w:tcPr>
          <w:p>
            <w:pPr>
              <w:ind w:left="180"/>
              <w:spacing w:after="0" w:line="198" w:lineRule="exact"/>
              <w:rPr>
                <w:sz w:val="20"/>
                <w:szCs w:val="20"/>
                <w:color w:val="auto"/>
              </w:rPr>
            </w:pPr>
            <w:r>
              <w:rPr>
                <w:rFonts w:ascii="Arial" w:cs="Arial" w:eastAsia="Arial" w:hAnsi="Arial"/>
                <w:sz w:val="18"/>
                <w:szCs w:val="18"/>
                <w:color w:val="auto"/>
              </w:rPr>
              <w:t>share attributable to common stockholders, basic</w:t>
            </w:r>
          </w:p>
        </w:tc>
        <w:tc>
          <w:tcPr>
            <w:tcW w:w="1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3"/>
              </w:rPr>
              <w:t>Weighted-average shares used in computing net income per</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54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198"/>
        </w:trPr>
        <w:tc>
          <w:tcPr>
            <w:tcW w:w="4540" w:type="dxa"/>
            <w:vAlign w:val="bottom"/>
          </w:tcPr>
          <w:p>
            <w:pPr>
              <w:ind w:left="180"/>
              <w:spacing w:after="0" w:line="198" w:lineRule="exact"/>
              <w:rPr>
                <w:sz w:val="20"/>
                <w:szCs w:val="20"/>
                <w:color w:val="auto"/>
              </w:rPr>
            </w:pPr>
            <w:r>
              <w:rPr>
                <w:rFonts w:ascii="Arial" w:cs="Arial" w:eastAsia="Arial" w:hAnsi="Arial"/>
                <w:sz w:val="18"/>
                <w:szCs w:val="18"/>
                <w:color w:val="auto"/>
              </w:rPr>
              <w:t>share attributable to common stockholders, diluted</w:t>
            </w:r>
          </w:p>
        </w:tc>
        <w:tc>
          <w:tcPr>
            <w:tcW w:w="1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174" w:hanging="174"/>
        <w:spacing w:after="0"/>
        <w:tabs>
          <w:tab w:leader="none" w:pos="174"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Includes stock-based compensation expense as follows (in millions):</w:t>
      </w:r>
    </w:p>
    <w:p>
      <w:pPr>
        <w:spacing w:after="0" w:line="105" w:lineRule="exact"/>
        <w:rPr>
          <w:sz w:val="20"/>
          <w:szCs w:val="20"/>
          <w:color w:val="auto"/>
        </w:rPr>
      </w:pPr>
    </w:p>
    <w:p>
      <w:pPr>
        <w:jc w:val="center"/>
        <w:ind w:left="3680"/>
        <w:spacing w:after="0"/>
        <w:rPr>
          <w:sz w:val="20"/>
          <w:szCs w:val="20"/>
          <w:color w:val="auto"/>
        </w:rPr>
      </w:pPr>
      <w:r>
        <w:rPr>
          <w:rFonts w:ascii="Arial" w:cs="Arial" w:eastAsia="Arial" w:hAnsi="Arial"/>
          <w:sz w:val="18"/>
          <w:szCs w:val="18"/>
          <w:b w:val="1"/>
          <w:bCs w:val="1"/>
          <w:color w:val="auto"/>
        </w:rPr>
        <w:t>Three Months Ended</w:t>
      </w:r>
    </w:p>
    <w:p>
      <w:pPr>
        <w:jc w:val="center"/>
        <w:ind w:left="3680"/>
        <w:spacing w:after="0"/>
        <w:rPr>
          <w:sz w:val="20"/>
          <w:szCs w:val="20"/>
          <w:color w:val="auto"/>
        </w:rPr>
      </w:pPr>
      <w:r>
        <w:rPr>
          <w:rFonts w:ascii="Arial" w:cs="Arial" w:eastAsia="Arial" w:hAnsi="Arial"/>
          <w:sz w:val="18"/>
          <w:szCs w:val="18"/>
          <w:b w:val="1"/>
          <w:bCs w:val="1"/>
          <w:color w:val="auto"/>
        </w:rPr>
        <w:t>March 31,</w:t>
      </w:r>
    </w:p>
    <w:p>
      <w:pPr>
        <w:spacing w:after="0" w:line="3" w:lineRule="exact"/>
        <w:rPr>
          <w:sz w:val="20"/>
          <w:szCs w:val="20"/>
          <w:color w:val="auto"/>
        </w:rPr>
      </w:pPr>
    </w:p>
    <w:tbl>
      <w:tblPr>
        <w:tblLayout w:type="fixed"/>
        <w:tblInd w:w="1914" w:type="dxa"/>
        <w:tblCellMar>
          <w:top w:w="0" w:type="dxa"/>
          <w:left w:w="0" w:type="dxa"/>
          <w:bottom w:w="0" w:type="dxa"/>
          <w:right w:w="0" w:type="dxa"/>
        </w:tblCellMar>
      </w:tblPr>
      <w:tr>
        <w:trPr>
          <w:trHeight w:val="220"/>
        </w:trPr>
        <w:tc>
          <w:tcPr>
            <w:tcW w:w="37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2020</w:t>
            </w:r>
          </w:p>
        </w:tc>
      </w:tr>
      <w:tr>
        <w:trPr>
          <w:trHeight w:val="219"/>
        </w:trPr>
        <w:tc>
          <w:tcPr>
            <w:tcW w:w="3700" w:type="dxa"/>
            <w:vAlign w:val="bottom"/>
            <w:shd w:val="clear" w:color="auto" w:fill="CCEEFF"/>
          </w:tcPr>
          <w:p>
            <w:pPr>
              <w:ind w:left="200"/>
              <w:spacing w:after="0" w:line="205" w:lineRule="exact"/>
              <w:rPr>
                <w:sz w:val="20"/>
                <w:szCs w:val="20"/>
                <w:color w:val="auto"/>
              </w:rPr>
            </w:pPr>
            <w:r>
              <w:rPr>
                <w:rFonts w:ascii="Arial" w:cs="Arial" w:eastAsia="Arial" w:hAnsi="Arial"/>
                <w:sz w:val="18"/>
                <w:szCs w:val="18"/>
                <w:color w:val="auto"/>
              </w:rPr>
              <w:t>Cost of revenue</w:t>
            </w:r>
          </w:p>
        </w:tc>
        <w:tc>
          <w:tcPr>
            <w:tcW w:w="1240" w:type="dxa"/>
            <w:vAlign w:val="bottom"/>
            <w:shd w:val="clear" w:color="auto" w:fill="CCEEFF"/>
          </w:tcPr>
          <w:p>
            <w:pPr>
              <w:jc w:val="right"/>
              <w:ind w:right="105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5"/>
        </w:trPr>
        <w:tc>
          <w:tcPr>
            <w:tcW w:w="37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26"/>
        </w:trPr>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300"/>
        </w:trPr>
        <w:tc>
          <w:tcPr>
            <w:tcW w:w="3700" w:type="dxa"/>
            <w:vAlign w:val="bottom"/>
          </w:tcPr>
          <w:p>
            <w:pPr>
              <w:ind w:left="20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(2)</w:t>
            </w:r>
          </w:p>
        </w:tc>
        <w:tc>
          <w:tcPr>
            <w:tcW w:w="1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200" w:lineRule="exact"/>
        <w:rPr>
          <w:sz w:val="20"/>
          <w:szCs w:val="20"/>
          <w:color w:val="auto"/>
        </w:rPr>
      </w:pPr>
    </w:p>
    <w:p>
      <w:pPr>
        <w:spacing w:after="0" w:line="287" w:lineRule="exact"/>
        <w:rPr>
          <w:sz w:val="20"/>
          <w:szCs w:val="20"/>
          <w:color w:val="auto"/>
        </w:rPr>
      </w:pPr>
    </w:p>
    <w:p>
      <w:pPr>
        <w:ind w:left="-6" w:firstLine="6"/>
        <w:spacing w:after="0" w:line="275" w:lineRule="auto"/>
        <w:tabs>
          <w:tab w:leader="none" w:pos="157"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On March 19, 2020, one of our co-founders resigned as a member of the board and as an officer of Dropbox, resulting in the reversal of $23.8 million in stock-based compensation expense. Of the total amount reversed, $21.5 million related to expense recognized prior to December 31, 2019.</w:t>
      </w:r>
    </w:p>
    <w:p>
      <w:pPr>
        <w:sectPr>
          <w:pgSz w:w="11900" w:h="16838" w:orient="portrait"/>
          <w:cols w:equalWidth="0" w:num="1">
            <w:col w:w="10654"/>
          </w:cols>
          <w:pgMar w:left="326" w:top="882" w:right="919" w:bottom="1440" w:gutter="0" w:footer="0" w:header="0"/>
        </w:sectPr>
      </w:pPr>
    </w:p>
    <w:bookmarkStart w:id="8" w:name="page9"/>
    <w:bookmarkEnd w:id="8"/>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rPr>
              <w:t>As of</w:t>
            </w:r>
          </w:p>
        </w:tc>
        <w:tc>
          <w:tcPr>
            <w:tcW w:w="1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2021</w:t>
            </w:r>
          </w:p>
        </w:tc>
        <w:tc>
          <w:tcPr>
            <w:tcW w:w="260" w:type="dxa"/>
            <w:vAlign w:val="bottom"/>
          </w:tcPr>
          <w:p>
            <w:pPr>
              <w:spacing w:after="0"/>
              <w:rPr>
                <w:sz w:val="19"/>
                <w:szCs w:val="19"/>
                <w:color w:val="auto"/>
              </w:rPr>
            </w:pPr>
          </w:p>
        </w:tc>
        <w:tc>
          <w:tcPr>
            <w:tcW w:w="1940" w:type="dxa"/>
            <w:vAlign w:val="bottom"/>
          </w:tcPr>
          <w:p>
            <w:pPr>
              <w:jc w:val="right"/>
              <w:ind w:right="291"/>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06"/>
        </w:trPr>
        <w:tc>
          <w:tcPr>
            <w:tcW w:w="666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1,070.9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806.4</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and other receivables, net</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1,227.5</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330.8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(deficit)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6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liability</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Finance lease obligation</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0" w:type="dxa"/>
            <w:vAlign w:val="bottom"/>
          </w:tcPr>
          <w:p>
            <w:pPr>
              <w:spacing w:after="0"/>
              <w:rPr>
                <w:sz w:val="1"/>
                <w:szCs w:val="1"/>
                <w:color w:val="auto"/>
              </w:rPr>
            </w:pPr>
          </w:p>
        </w:tc>
      </w:tr>
      <w:tr>
        <w:trPr>
          <w:trHeight w:val="218"/>
        </w:trPr>
        <w:tc>
          <w:tcPr>
            <w:tcW w:w="6660" w:type="dxa"/>
            <w:vAlign w:val="bottom"/>
          </w:tcPr>
          <w:p>
            <w:pPr>
              <w:ind w:left="20"/>
              <w:spacing w:after="0" w:line="205" w:lineRule="exact"/>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1,074.9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1,087.8</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liability, non-current</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0" w:type="dxa"/>
            <w:vAlign w:val="bottom"/>
          </w:tcPr>
          <w:p>
            <w:pPr>
              <w:spacing w:after="0"/>
              <w:rPr>
                <w:sz w:val="1"/>
                <w:szCs w:val="1"/>
                <w:color w:val="auto"/>
              </w:rPr>
            </w:pPr>
          </w:p>
        </w:tc>
      </w:tr>
      <w:tr>
        <w:trPr>
          <w:trHeight w:val="225"/>
        </w:trPr>
        <w:tc>
          <w:tcPr>
            <w:tcW w:w="6660" w:type="dxa"/>
            <w:vAlign w:val="bottom"/>
          </w:tcPr>
          <w:p>
            <w:pPr>
              <w:ind w:left="120"/>
              <w:spacing w:after="0"/>
              <w:rPr>
                <w:sz w:val="20"/>
                <w:szCs w:val="20"/>
                <w:color w:val="auto"/>
              </w:rPr>
            </w:pPr>
            <w:r>
              <w:rPr>
                <w:rFonts w:ascii="Arial" w:cs="Arial" w:eastAsia="Arial" w:hAnsi="Arial"/>
                <w:sz w:val="18"/>
                <w:szCs w:val="18"/>
                <w:color w:val="auto"/>
              </w:rPr>
              <w:t>Finance lease obligation, non-current</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Convertible senior notes, net, non-current</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2,053.4</w:t>
            </w:r>
          </w:p>
        </w:tc>
        <w:tc>
          <w:tcPr>
            <w:tcW w:w="0" w:type="dxa"/>
            <w:vAlign w:val="bottom"/>
          </w:tcPr>
          <w:p>
            <w:pPr>
              <w:spacing w:after="0"/>
              <w:rPr>
                <w:sz w:val="1"/>
                <w:szCs w:val="1"/>
                <w:color w:val="auto"/>
              </w:rPr>
            </w:pPr>
          </w:p>
        </w:tc>
      </w:tr>
      <w:tr>
        <w:trPr>
          <w:trHeight w:val="205"/>
        </w:trPr>
        <w:tc>
          <w:tcPr>
            <w:tcW w:w="6660" w:type="dxa"/>
            <w:vAlign w:val="bottom"/>
          </w:tcPr>
          <w:p>
            <w:pPr>
              <w:ind w:left="20"/>
              <w:spacing w:after="0" w:line="205" w:lineRule="exact"/>
              <w:rPr>
                <w:sz w:val="20"/>
                <w:szCs w:val="20"/>
                <w:color w:val="auto"/>
              </w:rPr>
            </w:pPr>
            <w:r>
              <w:rPr>
                <w:rFonts w:ascii="Arial" w:cs="Arial" w:eastAsia="Arial" w:hAnsi="Arial"/>
                <w:sz w:val="18"/>
                <w:szCs w:val="18"/>
                <w:color w:val="auto"/>
              </w:rPr>
              <w:t>Stockholders' (deficit) equity:</w:t>
            </w:r>
          </w:p>
        </w:tc>
        <w:tc>
          <w:tcPr>
            <w:tcW w:w="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2,564.3</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(2,507.8)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(2,241.4)</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(deficit) equity</w:t>
            </w: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882"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Cash Flows</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(Unaudited)</w:t>
      </w:r>
    </w:p>
    <w:p>
      <w:pPr>
        <w:spacing w:after="0" w:line="119" w:lineRule="exact"/>
        <w:rPr>
          <w:sz w:val="20"/>
          <w:szCs w:val="20"/>
          <w:color w:val="auto"/>
        </w:rPr>
      </w:pPr>
    </w:p>
    <w:p>
      <w:pPr>
        <w:jc w:val="center"/>
        <w:ind w:left="7220"/>
        <w:spacing w:after="0"/>
        <w:rPr>
          <w:sz w:val="20"/>
          <w:szCs w:val="20"/>
          <w:color w:val="auto"/>
        </w:rPr>
      </w:pPr>
      <w:r>
        <w:rPr>
          <w:rFonts w:ascii="Arial" w:cs="Arial" w:eastAsia="Arial" w:hAnsi="Arial"/>
          <w:sz w:val="16"/>
          <w:szCs w:val="16"/>
          <w:b w:val="1"/>
          <w:bCs w:val="1"/>
          <w:color w:val="auto"/>
        </w:rPr>
        <w:t>Three Months Ended</w:t>
      </w:r>
    </w:p>
    <w:p>
      <w:pPr>
        <w:jc w:val="center"/>
        <w:ind w:left="722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4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6"/>
                <w:szCs w:val="16"/>
                <w:b w:val="1"/>
                <w:bCs w:val="1"/>
                <w:color w:val="auto"/>
              </w:rPr>
              <w:t>2020</w:t>
            </w:r>
          </w:p>
        </w:tc>
      </w:tr>
      <w:tr>
        <w:trPr>
          <w:trHeight w:val="194"/>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0"/>
        </w:trPr>
        <w:tc>
          <w:tcPr>
            <w:tcW w:w="7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80" w:type="dxa"/>
            <w:vAlign w:val="bottom"/>
          </w:tcPr>
          <w:p>
            <w:pPr>
              <w:jc w:val="right"/>
              <w:ind w:right="11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47.6</w:t>
            </w:r>
          </w:p>
        </w:tc>
        <w:tc>
          <w:tcPr>
            <w:tcW w:w="80" w:type="dxa"/>
            <w:vAlign w:val="bottom"/>
          </w:tcPr>
          <w:p>
            <w:pPr>
              <w:spacing w:after="0"/>
              <w:rPr>
                <w:sz w:val="18"/>
                <w:szCs w:val="18"/>
                <w:color w:val="auto"/>
              </w:rPr>
            </w:pPr>
          </w:p>
        </w:tc>
        <w:tc>
          <w:tcPr>
            <w:tcW w:w="460" w:type="dxa"/>
            <w:vAlign w:val="bottom"/>
          </w:tcPr>
          <w:p>
            <w:pPr>
              <w:jc w:val="right"/>
              <w:ind w:right="280"/>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15"/>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0"/>
        </w:trPr>
        <w:tc>
          <w:tcPr>
            <w:tcW w:w="7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215"/>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10"/>
        </w:trPr>
        <w:tc>
          <w:tcPr>
            <w:tcW w:w="7240" w:type="dxa"/>
            <w:vAlign w:val="bottom"/>
          </w:tcPr>
          <w:p>
            <w:pPr>
              <w:ind w:left="220"/>
              <w:spacing w:after="0"/>
              <w:rPr>
                <w:sz w:val="20"/>
                <w:szCs w:val="20"/>
                <w:color w:val="auto"/>
              </w:rPr>
            </w:pPr>
            <w:r>
              <w:rPr>
                <w:rFonts w:ascii="Arial" w:cs="Arial" w:eastAsia="Arial" w:hAnsi="Arial"/>
                <w:sz w:val="16"/>
                <w:szCs w:val="16"/>
                <w:color w:val="auto"/>
              </w:rPr>
              <w:t>Impairment related to real estate assets</w:t>
            </w:r>
          </w:p>
        </w:tc>
        <w:tc>
          <w:tcPr>
            <w:tcW w:w="1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7240" w:type="dxa"/>
            <w:vAlign w:val="bottom"/>
          </w:tcPr>
          <w:p>
            <w:pPr>
              <w:ind w:left="220"/>
              <w:spacing w:after="0"/>
              <w:rPr>
                <w:sz w:val="20"/>
                <w:szCs w:val="20"/>
                <w:color w:val="auto"/>
              </w:rPr>
            </w:pPr>
            <w:r>
              <w:rPr>
                <w:rFonts w:ascii="Arial" w:cs="Arial" w:eastAsia="Arial" w:hAnsi="Arial"/>
                <w:sz w:val="16"/>
                <w:szCs w:val="16"/>
                <w:color w:val="auto"/>
              </w:rPr>
              <w:t>Net gains on equity investments</w:t>
            </w:r>
          </w:p>
        </w:tc>
        <w:tc>
          <w:tcPr>
            <w:tcW w:w="12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5"/>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commissions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0"/>
        </w:trPr>
        <w:tc>
          <w:tcPr>
            <w:tcW w:w="7240" w:type="dxa"/>
            <w:vAlign w:val="bottom"/>
          </w:tcPr>
          <w:p>
            <w:pPr>
              <w:ind w:left="220"/>
              <w:spacing w:after="0"/>
              <w:rPr>
                <w:sz w:val="20"/>
                <w:szCs w:val="20"/>
                <w:color w:val="auto"/>
              </w:rPr>
            </w:pPr>
            <w:r>
              <w:rPr>
                <w:rFonts w:ascii="Arial" w:cs="Arial" w:eastAsia="Arial" w:hAnsi="Arial"/>
                <w:sz w:val="16"/>
                <w:szCs w:val="16"/>
                <w:color w:val="auto"/>
              </w:rPr>
              <w:t>Other</w:t>
            </w:r>
          </w:p>
        </w:tc>
        <w:tc>
          <w:tcPr>
            <w:tcW w:w="1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0"/>
        </w:trPr>
        <w:tc>
          <w:tcPr>
            <w:tcW w:w="7240" w:type="dxa"/>
            <w:vAlign w:val="bottom"/>
          </w:tcPr>
          <w:p>
            <w:pPr>
              <w:ind w:left="220"/>
              <w:spacing w:after="0"/>
              <w:rPr>
                <w:sz w:val="20"/>
                <w:szCs w:val="20"/>
                <w:color w:val="auto"/>
              </w:rPr>
            </w:pPr>
            <w:r>
              <w:rPr>
                <w:rFonts w:ascii="Arial" w:cs="Arial" w:eastAsia="Arial" w:hAnsi="Arial"/>
                <w:sz w:val="16"/>
                <w:szCs w:val="16"/>
                <w:color w:val="auto"/>
              </w:rPr>
              <w:t>Trade and other receivables, net</w:t>
            </w:r>
          </w:p>
        </w:tc>
        <w:tc>
          <w:tcPr>
            <w:tcW w:w="1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0"/>
        </w:trPr>
        <w:tc>
          <w:tcPr>
            <w:tcW w:w="724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1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15"/>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0"/>
        </w:trPr>
        <w:tc>
          <w:tcPr>
            <w:tcW w:w="7240" w:type="dxa"/>
            <w:vAlign w:val="bottom"/>
          </w:tcPr>
          <w:p>
            <w:pPr>
              <w:ind w:left="220"/>
              <w:spacing w:after="0"/>
              <w:rPr>
                <w:sz w:val="20"/>
                <w:szCs w:val="20"/>
                <w:color w:val="auto"/>
              </w:rPr>
            </w:pPr>
            <w:r>
              <w:rPr>
                <w:rFonts w:ascii="Arial" w:cs="Arial" w:eastAsia="Arial" w:hAnsi="Arial"/>
                <w:sz w:val="16"/>
                <w:szCs w:val="16"/>
                <w:color w:val="auto"/>
              </w:rPr>
              <w:t>Accrued and other current liabilities</w:t>
            </w:r>
          </w:p>
        </w:tc>
        <w:tc>
          <w:tcPr>
            <w:tcW w:w="1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5"/>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 and benefits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r>
      <w:tr>
        <w:trPr>
          <w:trHeight w:val="210"/>
        </w:trPr>
        <w:tc>
          <w:tcPr>
            <w:tcW w:w="724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5"/>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10"/>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Tenant improvement allowance reimbursement</w:t>
            </w:r>
          </w:p>
        </w:tc>
        <w:tc>
          <w:tcPr>
            <w:tcW w:w="1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08"/>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190"/>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5"/>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10"/>
        </w:trPr>
        <w:tc>
          <w:tcPr>
            <w:tcW w:w="7240" w:type="dxa"/>
            <w:vAlign w:val="bottom"/>
          </w:tcPr>
          <w:p>
            <w:pPr>
              <w:ind w:left="220"/>
              <w:spacing w:after="0"/>
              <w:rPr>
                <w:sz w:val="20"/>
                <w:szCs w:val="20"/>
                <w:color w:val="auto"/>
              </w:rPr>
            </w:pPr>
            <w:r>
              <w:rPr>
                <w:rFonts w:ascii="Arial" w:cs="Arial" w:eastAsia="Arial" w:hAnsi="Arial"/>
                <w:sz w:val="16"/>
                <w:szCs w:val="16"/>
                <w:color w:val="auto"/>
              </w:rPr>
              <w:t>Business combinations, net of cash acquired</w:t>
            </w:r>
          </w:p>
        </w:tc>
        <w:tc>
          <w:tcPr>
            <w:tcW w:w="1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(125.4)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investments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r>
      <w:tr>
        <w:trPr>
          <w:trHeight w:val="210"/>
        </w:trPr>
        <w:tc>
          <w:tcPr>
            <w:tcW w:w="7240" w:type="dxa"/>
            <w:vAlign w:val="bottom"/>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1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114.2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65.1</w:t>
            </w:r>
          </w:p>
        </w:tc>
      </w:tr>
      <w:tr>
        <w:trPr>
          <w:trHeight w:val="215"/>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maturities of short-term investments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w:t>
            </w:r>
          </w:p>
        </w:tc>
      </w:tr>
      <w:tr>
        <w:trPr>
          <w:trHeight w:val="210"/>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08"/>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190"/>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5"/>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convertible senior notes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240" w:type="dxa"/>
            <w:vAlign w:val="bottom"/>
          </w:tcPr>
          <w:p>
            <w:pPr>
              <w:ind w:left="220"/>
              <w:spacing w:after="0"/>
              <w:rPr>
                <w:sz w:val="20"/>
                <w:szCs w:val="20"/>
                <w:color w:val="auto"/>
              </w:rPr>
            </w:pPr>
            <w:r>
              <w:rPr>
                <w:rFonts w:ascii="Arial" w:cs="Arial" w:eastAsia="Arial" w:hAnsi="Arial"/>
                <w:sz w:val="16"/>
                <w:szCs w:val="16"/>
                <w:color w:val="auto"/>
              </w:rPr>
              <w:t>Purchase of convertible note hedge in connection with issuance of convertible senior notes</w:t>
            </w:r>
          </w:p>
        </w:tc>
        <w:tc>
          <w:tcPr>
            <w:tcW w:w="1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(265.3)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warrants in connection with issuance of convertible senior notes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24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1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taxes related to net share settlement of restricted stock units and awards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10"/>
        </w:trPr>
        <w:tc>
          <w:tcPr>
            <w:tcW w:w="7240" w:type="dxa"/>
            <w:vAlign w:val="bottom"/>
          </w:tcPr>
          <w:p>
            <w:pPr>
              <w:ind w:left="220"/>
              <w:spacing w:after="0"/>
              <w:rPr>
                <w:sz w:val="20"/>
                <w:szCs w:val="20"/>
                <w:color w:val="auto"/>
              </w:rPr>
            </w:pPr>
            <w:r>
              <w:rPr>
                <w:rFonts w:ascii="Arial" w:cs="Arial" w:eastAsia="Arial" w:hAnsi="Arial"/>
                <w:sz w:val="16"/>
                <w:szCs w:val="16"/>
                <w:color w:val="auto"/>
              </w:rPr>
              <w:t>Proceeds from issuance of common stock, net of taxes withheld</w:t>
            </w:r>
          </w:p>
        </w:tc>
        <w:tc>
          <w:tcPr>
            <w:tcW w:w="1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5"/>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Principal payments on finance lease obligations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10"/>
        </w:trPr>
        <w:tc>
          <w:tcPr>
            <w:tcW w:w="7240" w:type="dxa"/>
            <w:vAlign w:val="bottom"/>
          </w:tcPr>
          <w:p>
            <w:pPr>
              <w:ind w:left="220"/>
              <w:spacing w:after="0"/>
              <w:rPr>
                <w:sz w:val="20"/>
                <w:szCs w:val="20"/>
                <w:color w:val="auto"/>
              </w:rPr>
            </w:pPr>
            <w:r>
              <w:rPr>
                <w:rFonts w:ascii="Arial" w:cs="Arial" w:eastAsia="Arial" w:hAnsi="Arial"/>
                <w:sz w:val="16"/>
                <w:szCs w:val="16"/>
                <w:color w:val="auto"/>
              </w:rPr>
              <w:t>Common stock repurchases</w:t>
            </w:r>
          </w:p>
        </w:tc>
        <w:tc>
          <w:tcPr>
            <w:tcW w:w="1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(431.9)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(64.0)</w:t>
            </w:r>
          </w:p>
        </w:tc>
      </w:tr>
      <w:tr>
        <w:trPr>
          <w:trHeight w:val="215"/>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3"/>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2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814.6</w:t>
            </w:r>
          </w:p>
        </w:tc>
        <w:tc>
          <w:tcPr>
            <w:tcW w:w="8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(104.3)</w:t>
            </w:r>
          </w:p>
        </w:tc>
      </w:tr>
      <w:tr>
        <w:trPr>
          <w:trHeight w:val="208"/>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3"/>
        </w:trPr>
        <w:tc>
          <w:tcPr>
            <w:tcW w:w="7240" w:type="dxa"/>
            <w:vAlign w:val="bottom"/>
          </w:tcPr>
          <w:p>
            <w:pPr>
              <w:ind w:left="20"/>
              <w:spacing w:after="0"/>
              <w:rPr>
                <w:sz w:val="20"/>
                <w:szCs w:val="20"/>
                <w:color w:val="auto"/>
              </w:rPr>
            </w:pPr>
            <w:r>
              <w:rPr>
                <w:rFonts w:ascii="Arial" w:cs="Arial" w:eastAsia="Arial" w:hAnsi="Arial"/>
                <w:sz w:val="16"/>
                <w:szCs w:val="16"/>
                <w:color w:val="auto"/>
              </w:rPr>
              <w:t>Change in cash and cash equivalents</w:t>
            </w:r>
          </w:p>
        </w:tc>
        <w:tc>
          <w:tcPr>
            <w:tcW w:w="1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530.6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(64.9)</w:t>
            </w:r>
          </w:p>
        </w:tc>
      </w:tr>
      <w:tr>
        <w:trPr>
          <w:trHeight w:val="215"/>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1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551.3</w:t>
            </w:r>
          </w:p>
        </w:tc>
      </w:tr>
      <w:tr>
        <w:trPr>
          <w:trHeight w:val="203"/>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 end of period</w:t>
            </w:r>
          </w:p>
        </w:tc>
        <w:tc>
          <w:tcPr>
            <w:tcW w:w="1280" w:type="dxa"/>
            <w:vAlign w:val="bottom"/>
            <w:tcBorders>
              <w:bottom w:val="single" w:sz="8" w:color="auto"/>
            </w:tcBorders>
          </w:tcPr>
          <w:p>
            <w:pPr>
              <w:jc w:val="right"/>
              <w:ind w:right="110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845.5</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486.4</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2"/>
        </w:trPr>
        <w:tc>
          <w:tcPr>
            <w:tcW w:w="7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1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Supplemental cash flow data:</w:t>
            </w:r>
          </w:p>
        </w:tc>
        <w:tc>
          <w:tcPr>
            <w:tcW w:w="1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30"/>
        </w:trPr>
        <w:tc>
          <w:tcPr>
            <w:tcW w:w="7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Property and equipment acquired under finance leases</w:t>
            </w:r>
          </w:p>
        </w:tc>
        <w:tc>
          <w:tcPr>
            <w:tcW w:w="1280" w:type="dxa"/>
            <w:vAlign w:val="bottom"/>
            <w:tcBorders>
              <w:bottom w:val="single" w:sz="8" w:color="auto"/>
            </w:tcBorders>
            <w:shd w:val="clear" w:color="auto" w:fill="CCEEFF"/>
          </w:tcPr>
          <w:p>
            <w:pPr>
              <w:jc w:val="right"/>
              <w:ind w:right="110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2" w:right="339" w:bottom="1440" w:gutter="0" w:footer="0" w:header="0"/>
        </w:sectPr>
      </w:pPr>
    </w:p>
    <w:bookmarkStart w:id="10" w:name="page11"/>
    <w:bookmarkEnd w:id="10"/>
    <w:p>
      <w:pPr>
        <w:jc w:val="center"/>
        <w:ind w:right="-1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13"/>
        <w:spacing w:after="0"/>
        <w:rPr>
          <w:sz w:val="20"/>
          <w:szCs w:val="20"/>
          <w:color w:val="auto"/>
        </w:rPr>
      </w:pPr>
      <w:r>
        <w:rPr>
          <w:rFonts w:ascii="Arial" w:cs="Arial" w:eastAsia="Arial" w:hAnsi="Arial"/>
          <w:sz w:val="19"/>
          <w:szCs w:val="19"/>
          <w:b w:val="1"/>
          <w:bCs w:val="1"/>
          <w:color w:val="auto"/>
        </w:rPr>
        <w:t>Three Months Ended March 31, 2021</w:t>
      </w:r>
    </w:p>
    <w:p>
      <w:pPr>
        <w:spacing w:after="0" w:line="7" w:lineRule="exact"/>
        <w:rPr>
          <w:sz w:val="20"/>
          <w:szCs w:val="20"/>
          <w:color w:val="auto"/>
        </w:rPr>
      </w:pPr>
    </w:p>
    <w:p>
      <w:pPr>
        <w:jc w:val="center"/>
        <w:ind w:right="-13"/>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(Unaudited)</w:t>
      </w:r>
    </w:p>
    <w:p>
      <w:pPr>
        <w:spacing w:after="0" w:line="92"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Stock-based</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Acquisition-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Intangibles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4"/>
              </w:rPr>
              <w:t>Impairment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Workforce</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GAAP</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89"/>
              </w:rPr>
              <w:t>related and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4"/>
          </w:tcPr>
          <w:p>
            <w:pPr>
              <w:jc w:val="center"/>
              <w:ind w:right="380"/>
              <w:spacing w:after="0" w:line="173" w:lineRule="exact"/>
              <w:rPr>
                <w:sz w:val="20"/>
                <w:szCs w:val="20"/>
                <w:color w:val="auto"/>
              </w:rPr>
            </w:pPr>
            <w:r>
              <w:rPr>
                <w:rFonts w:ascii="Arial" w:cs="Arial" w:eastAsia="Arial" w:hAnsi="Arial"/>
                <w:sz w:val="18"/>
                <w:szCs w:val="18"/>
                <w:b w:val="1"/>
                <w:bCs w:val="1"/>
                <w:color w:val="auto"/>
                <w:w w:val="88"/>
              </w:rPr>
              <w:t>related to real</w:t>
            </w:r>
          </w:p>
        </w:tc>
        <w:tc>
          <w:tcPr>
            <w:tcW w:w="1200" w:type="dxa"/>
            <w:vAlign w:val="bottom"/>
            <w:gridSpan w:val="2"/>
          </w:tcPr>
          <w:p>
            <w:pPr>
              <w:jc w:val="center"/>
              <w:ind w:right="260"/>
              <w:spacing w:after="0" w:line="173" w:lineRule="exact"/>
              <w:rPr>
                <w:sz w:val="20"/>
                <w:szCs w:val="20"/>
                <w:color w:val="auto"/>
              </w:rPr>
            </w:pPr>
            <w:r>
              <w:rPr>
                <w:rFonts w:ascii="Arial" w:cs="Arial" w:eastAsia="Arial" w:hAnsi="Arial"/>
                <w:sz w:val="18"/>
                <w:szCs w:val="18"/>
                <w:b w:val="1"/>
                <w:bCs w:val="1"/>
                <w:color w:val="auto"/>
                <w:w w:val="90"/>
              </w:rPr>
              <w:t>reduction</w:t>
            </w:r>
          </w:p>
        </w:tc>
        <w:tc>
          <w:tcPr>
            <w:tcW w:w="100" w:type="dxa"/>
            <w:vAlign w:val="bottom"/>
          </w:tcPr>
          <w:p>
            <w:pPr>
              <w:spacing w:after="0"/>
              <w:rPr>
                <w:sz w:val="15"/>
                <w:szCs w:val="15"/>
                <w:color w:val="auto"/>
              </w:rPr>
            </w:pPr>
          </w:p>
        </w:tc>
        <w:tc>
          <w:tcPr>
            <w:tcW w:w="102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w w:val="92"/>
              </w:rPr>
              <w:t>Non-GAAP</w:t>
            </w:r>
          </w:p>
        </w:tc>
        <w:tc>
          <w:tcPr>
            <w:tcW w:w="0" w:type="dxa"/>
            <w:vAlign w:val="bottom"/>
          </w:tcPr>
          <w:p>
            <w:pPr>
              <w:spacing w:after="0"/>
              <w:rPr>
                <w:sz w:val="1"/>
                <w:szCs w:val="1"/>
                <w:color w:val="auto"/>
              </w:rPr>
            </w:pPr>
          </w:p>
        </w:tc>
      </w:tr>
      <w:tr>
        <w:trPr>
          <w:trHeight w:val="226"/>
        </w:trPr>
        <w:tc>
          <w:tcPr>
            <w:tcW w:w="17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86"/>
              </w:rPr>
              <w:t>compensation</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31"/>
              <w:spacing w:after="0"/>
              <w:rPr>
                <w:sz w:val="20"/>
                <w:szCs w:val="20"/>
                <w:color w:val="auto"/>
              </w:rPr>
            </w:pPr>
            <w:r>
              <w:rPr>
                <w:rFonts w:ascii="Arial" w:cs="Arial" w:eastAsia="Arial" w:hAnsi="Arial"/>
                <w:sz w:val="18"/>
                <w:szCs w:val="18"/>
                <w:b w:val="1"/>
                <w:bCs w:val="1"/>
                <w:color w:val="auto"/>
                <w:w w:val="83"/>
              </w:rPr>
              <w:t>other expenses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amortization</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estate assets</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91"/>
              <w:spacing w:after="0" w:line="225" w:lineRule="exact"/>
              <w:rPr>
                <w:sz w:val="20"/>
                <w:szCs w:val="20"/>
                <w:color w:val="auto"/>
              </w:rPr>
            </w:pPr>
            <w:r>
              <w:rPr>
                <w:rFonts w:ascii="Arial" w:cs="Arial" w:eastAsia="Arial" w:hAnsi="Arial"/>
                <w:sz w:val="18"/>
                <w:szCs w:val="18"/>
                <w:b w:val="1"/>
                <w:bCs w:val="1"/>
                <w:color w:val="auto"/>
                <w:w w:val="81"/>
              </w:rPr>
              <w:t>expense</w:t>
            </w:r>
            <w:r>
              <w:rPr>
                <w:rFonts w:ascii="Arial" w:cs="Arial" w:eastAsia="Arial" w:hAnsi="Arial"/>
                <w:sz w:val="23"/>
                <w:szCs w:val="23"/>
                <w:b w:val="1"/>
                <w:bCs w:val="1"/>
                <w:color w:val="auto"/>
                <w:w w:val="81"/>
                <w:vertAlign w:val="superscript"/>
              </w:rPr>
              <w:t>(1)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174"/>
        </w:trPr>
        <w:tc>
          <w:tcPr>
            <w:tcW w:w="170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Cost of revenue</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21.4 %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24"/>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25"/>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78.6 %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80.2 %</w:t>
            </w:r>
          </w:p>
        </w:tc>
        <w:tc>
          <w:tcPr>
            <w:tcW w:w="0" w:type="dxa"/>
            <w:vAlign w:val="bottom"/>
          </w:tcPr>
          <w:p>
            <w:pPr>
              <w:spacing w:after="0"/>
              <w:rPr>
                <w:sz w:val="1"/>
                <w:szCs w:val="1"/>
                <w:color w:val="auto"/>
              </w:rPr>
            </w:pPr>
          </w:p>
        </w:tc>
      </w:tr>
      <w:tr>
        <w:trPr>
          <w:trHeight w:val="174"/>
        </w:trPr>
        <w:tc>
          <w:tcPr>
            <w:tcW w:w="17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Research and</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181.2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25"/>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Research and</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35.4 %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224"/>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development margin</w:t>
            </w: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174"/>
        </w:trPr>
        <w:tc>
          <w:tcPr>
            <w:tcW w:w="170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Sales and marketing</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20.1 %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24"/>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General and</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5"/>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General and</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11.5 %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24"/>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w w:val="97"/>
              </w:rPr>
              <w:t>administrative margin</w:t>
            </w: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7"/>
              </w:rPr>
              <w:t>Impairment related to</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assets</w:t>
            </w: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tcPr>
          <w:p>
            <w:pPr>
              <w:ind w:left="20"/>
              <w:spacing w:after="0" w:line="174" w:lineRule="exact"/>
              <w:rPr>
                <w:sz w:val="20"/>
                <w:szCs w:val="20"/>
                <w:color w:val="auto"/>
              </w:rPr>
            </w:pPr>
            <w:r>
              <w:rPr>
                <w:rFonts w:ascii="Arial" w:cs="Arial" w:eastAsia="Arial" w:hAnsi="Arial"/>
                <w:sz w:val="18"/>
                <w:szCs w:val="18"/>
                <w:i w:val="1"/>
                <w:iCs w:val="1"/>
                <w:color w:val="auto"/>
                <w:w w:val="97"/>
              </w:rPr>
              <w:t>Impairment related to</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0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real estate assets</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3.4 %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restart"/>
          </w:tcPr>
          <w:p>
            <w:pPr>
              <w:ind w:left="8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5"/>
                <w:szCs w:val="15"/>
                <w:color w:val="auto"/>
              </w:rPr>
            </w:pPr>
          </w:p>
        </w:tc>
        <w:tc>
          <w:tcPr>
            <w:tcW w:w="146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42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auto"/>
              </w:rPr>
              <w:t>— %</w:t>
            </w: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(3.4 %)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restart"/>
          </w:tcPr>
          <w:p>
            <w:pPr>
              <w:ind w:left="6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1420" w:type="dxa"/>
            <w:vAlign w:val="bottom"/>
            <w:gridSpan w:val="4"/>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Income from</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ind w:right="191"/>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4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91"/>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25"/>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18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2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40" w:type="dxa"/>
            <w:vAlign w:val="bottom"/>
            <w:gridSpan w:val="3"/>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154" w:hanging="154"/>
        <w:spacing w:after="0"/>
        <w:tabs>
          <w:tab w:leader="none" w:pos="154"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Includes expenses related to workforce reduction such as severance, benefits, and other related items.</w:t>
      </w:r>
    </w:p>
    <w:p>
      <w:pPr>
        <w:sectPr>
          <w:pgSz w:w="11900" w:h="16838" w:orient="portrait"/>
          <w:cols w:equalWidth="0" w:num="1">
            <w:col w:w="11214"/>
          </w:cols>
          <w:pgMar w:left="326" w:top="874" w:right="35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Three Months Ended March 31, 2020</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GAAP</w:t>
            </w:r>
          </w:p>
        </w:tc>
        <w:tc>
          <w:tcPr>
            <w:tcW w:w="160" w:type="dxa"/>
            <w:vAlign w:val="bottom"/>
          </w:tcPr>
          <w:p>
            <w:pPr>
              <w:spacing w:after="0"/>
              <w:rPr>
                <w:sz w:val="17"/>
                <w:szCs w:val="17"/>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97"/>
              </w:rPr>
              <w:t>Stock-based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3"/>
          </w:tcPr>
          <w:p>
            <w:pPr>
              <w:ind w:left="20"/>
              <w:spacing w:after="0"/>
              <w:rPr>
                <w:sz w:val="20"/>
                <w:szCs w:val="20"/>
                <w:color w:val="auto"/>
              </w:rPr>
            </w:pPr>
            <w:r>
              <w:rPr>
                <w:rFonts w:ascii="Arial" w:cs="Arial" w:eastAsia="Arial" w:hAnsi="Arial"/>
                <w:sz w:val="18"/>
                <w:szCs w:val="18"/>
                <w:b w:val="1"/>
                <w:bCs w:val="1"/>
                <w:color w:val="auto"/>
              </w:rPr>
              <w:t>Acquisition-related</w:t>
            </w: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Intangibles</w:t>
            </w:r>
          </w:p>
        </w:tc>
        <w:tc>
          <w:tcPr>
            <w:tcW w:w="460" w:type="dxa"/>
            <w:vAlign w:val="bottom"/>
          </w:tcPr>
          <w:p>
            <w:pPr>
              <w:spacing w:after="0"/>
              <w:rPr>
                <w:sz w:val="17"/>
                <w:szCs w:val="17"/>
                <w:color w:val="auto"/>
              </w:rPr>
            </w:pPr>
          </w:p>
        </w:tc>
        <w:tc>
          <w:tcPr>
            <w:tcW w:w="118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w w:val="98"/>
              </w:rPr>
              <w:t>Non-GAAP</w:t>
            </w:r>
          </w:p>
        </w:tc>
        <w:tc>
          <w:tcPr>
            <w:tcW w:w="0" w:type="dxa"/>
            <w:vAlign w:val="bottom"/>
          </w:tcPr>
          <w:p>
            <w:pPr>
              <w:spacing w:after="0"/>
              <w:rPr>
                <w:sz w:val="1"/>
                <w:szCs w:val="1"/>
                <w:color w:val="auto"/>
              </w:rPr>
            </w:pPr>
          </w:p>
        </w:tc>
      </w:tr>
      <w:tr>
        <w:trPr>
          <w:trHeight w:val="226"/>
        </w:trPr>
        <w:tc>
          <w:tcPr>
            <w:tcW w:w="2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0"/>
              </w:rPr>
              <w:t>compensation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3"/>
          </w:tcPr>
          <w:p>
            <w:pPr>
              <w:ind w:left="40"/>
              <w:spacing w:after="0"/>
              <w:rPr>
                <w:sz w:val="20"/>
                <w:szCs w:val="20"/>
                <w:color w:val="auto"/>
              </w:rPr>
            </w:pPr>
            <w:r>
              <w:rPr>
                <w:rFonts w:ascii="Arial" w:cs="Arial" w:eastAsia="Arial" w:hAnsi="Arial"/>
                <w:sz w:val="18"/>
                <w:szCs w:val="18"/>
                <w:b w:val="1"/>
                <w:bCs w:val="1"/>
                <w:color w:val="auto"/>
              </w:rPr>
              <w:t>and other expenses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7"/>
              </w:rPr>
              <w:t>amortization</w:t>
            </w:r>
          </w:p>
        </w:tc>
        <w:tc>
          <w:tcPr>
            <w:tcW w:w="4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103.1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rPr>
              <w:t>Cost of revenue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1"/>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191"/>
              <w:spacing w:after="0"/>
              <w:rPr>
                <w:sz w:val="20"/>
                <w:szCs w:val="20"/>
                <w:color w:val="auto"/>
              </w:rPr>
            </w:pPr>
            <w:r>
              <w:rPr>
                <w:rFonts w:ascii="Arial" w:cs="Arial" w:eastAsia="Arial" w:hAnsi="Arial"/>
                <w:sz w:val="18"/>
                <w:szCs w:val="18"/>
                <w:color w:val="auto"/>
              </w:rPr>
              <w:t>(0.2 %)</w:t>
            </w:r>
          </w:p>
        </w:tc>
        <w:tc>
          <w:tcPr>
            <w:tcW w:w="1180" w:type="dxa"/>
            <w:vAlign w:val="bottom"/>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rPr>
              <w:t>Gross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gridSpan w:val="2"/>
          </w:tcPr>
          <w:p>
            <w:pPr>
              <w:jc w:val="right"/>
              <w:ind w:right="211"/>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78.3 %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w w:val="88"/>
              </w:rPr>
              <w:t>Research and development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gridSpan w:val="2"/>
          </w:tcPr>
          <w:p>
            <w:pPr>
              <w:jc w:val="right"/>
              <w:ind w:right="211"/>
              <w:spacing w:after="0"/>
              <w:rPr>
                <w:sz w:val="20"/>
                <w:szCs w:val="20"/>
                <w:color w:val="auto"/>
              </w:rPr>
            </w:pPr>
            <w:r>
              <w:rPr>
                <w:rFonts w:ascii="Arial" w:cs="Arial" w:eastAsia="Arial" w:hAnsi="Arial"/>
                <w:sz w:val="18"/>
                <w:szCs w:val="18"/>
                <w:color w:val="auto"/>
              </w:rPr>
              <w:t>(0.9 %)</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30.9 %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rPr>
              <w:t>Sales and marketing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1"/>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191"/>
              <w:spacing w:after="0"/>
              <w:rPr>
                <w:sz w:val="20"/>
                <w:szCs w:val="20"/>
                <w:color w:val="auto"/>
              </w:rPr>
            </w:pPr>
            <w:r>
              <w:rPr>
                <w:rFonts w:ascii="Arial" w:cs="Arial" w:eastAsia="Arial" w:hAnsi="Arial"/>
                <w:sz w:val="18"/>
                <w:szCs w:val="18"/>
                <w:color w:val="auto"/>
              </w:rPr>
              <w:t>(0.3 %)</w:t>
            </w:r>
          </w:p>
        </w:tc>
        <w:tc>
          <w:tcPr>
            <w:tcW w:w="1180" w:type="dxa"/>
            <w:vAlign w:val="bottom"/>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174"/>
        </w:trPr>
        <w:tc>
          <w:tcPr>
            <w:tcW w:w="2500" w:type="dxa"/>
            <w:vAlign w:val="bottom"/>
          </w:tcPr>
          <w:p>
            <w:pPr>
              <w:spacing w:after="0" w:line="174" w:lineRule="exact"/>
              <w:rPr>
                <w:sz w:val="20"/>
                <w:szCs w:val="20"/>
                <w:color w:val="auto"/>
              </w:rPr>
            </w:pPr>
            <w:r>
              <w:rPr>
                <w:rFonts w:ascii="Arial" w:cs="Arial" w:eastAsia="Arial" w:hAnsi="Arial"/>
                <w:sz w:val="18"/>
                <w:szCs w:val="18"/>
                <w:i w:val="1"/>
                <w:iCs w:val="1"/>
                <w:color w:val="auto"/>
              </w:rPr>
              <w:t>General and administrative</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8.6 %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gridSpan w:val="2"/>
            <w:vMerge w:val="restart"/>
          </w:tcPr>
          <w:p>
            <w:pPr>
              <w:jc w:val="right"/>
              <w:ind w:right="271"/>
              <w:spacing w:after="0"/>
              <w:rPr>
                <w:sz w:val="20"/>
                <w:szCs w:val="20"/>
                <w:color w:val="auto"/>
              </w:rPr>
            </w:pPr>
            <w:r>
              <w:rPr>
                <w:rFonts w:ascii="Arial" w:cs="Arial" w:eastAsia="Arial" w:hAnsi="Arial"/>
                <w:sz w:val="18"/>
                <w:szCs w:val="18"/>
                <w:color w:val="auto"/>
              </w:rPr>
              <w:t>— %</w:t>
            </w:r>
          </w:p>
        </w:tc>
        <w:tc>
          <w:tcPr>
            <w:tcW w:w="1600" w:type="dxa"/>
            <w:vAlign w:val="bottom"/>
            <w:gridSpan w:val="2"/>
            <w:vMerge w:val="restart"/>
          </w:tcPr>
          <w:p>
            <w:pPr>
              <w:jc w:val="right"/>
              <w:ind w:right="191"/>
              <w:spacing w:after="0"/>
              <w:rPr>
                <w:sz w:val="20"/>
                <w:szCs w:val="20"/>
                <w:color w:val="auto"/>
              </w:rPr>
            </w:pPr>
            <w:r>
              <w:rPr>
                <w:rFonts w:ascii="Arial" w:cs="Arial" w:eastAsia="Arial" w:hAnsi="Arial"/>
                <w:sz w:val="18"/>
                <w:szCs w:val="18"/>
                <w:color w:val="auto"/>
              </w:rPr>
              <w:t>— %</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4"/>
        </w:trPr>
        <w:tc>
          <w:tcPr>
            <w:tcW w:w="2500" w:type="dxa"/>
            <w:vAlign w:val="bottom"/>
          </w:tcPr>
          <w:p>
            <w:pPr>
              <w:spacing w:after="0"/>
              <w:rPr>
                <w:sz w:val="20"/>
                <w:szCs w:val="20"/>
                <w:color w:val="auto"/>
              </w:rPr>
            </w:pPr>
            <w:r>
              <w:rPr>
                <w:rFonts w:ascii="Arial" w:cs="Arial" w:eastAsia="Arial" w:hAnsi="Arial"/>
                <w:sz w:val="18"/>
                <w:szCs w:val="18"/>
                <w:i w:val="1"/>
                <w:iCs w:val="1"/>
                <w:color w:val="auto"/>
              </w:rPr>
              <w:t>margin</w:t>
            </w: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rPr>
              <w:t>Operating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480" w:type="dxa"/>
            <w:vAlign w:val="bottom"/>
          </w:tcPr>
          <w:p>
            <w:pPr>
              <w:jc w:val="right"/>
              <w:ind w:right="21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46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bl>
    <w:p>
      <w:pPr>
        <w:sectPr>
          <w:pgSz w:w="11900" w:h="16838" w:orient="portrait"/>
          <w:cols w:equalWidth="0" w:num="1">
            <w:col w:w="10180"/>
          </w:cols>
          <w:pgMar w:left="860" w:top="1113" w:right="859" w:bottom="1440" w:gutter="0" w:footer="0" w:header="0"/>
        </w:sectPr>
      </w:pPr>
    </w:p>
    <w:bookmarkStart w:id="12" w:name="page13"/>
    <w:bookmarkEnd w:id="12"/>
    <w:p>
      <w:pPr>
        <w:jc w:val="center"/>
        <w:ind w:right="-9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Three Months Ended March 31, 2021 and 2020</w:t>
      </w:r>
    </w:p>
    <w:p>
      <w:pPr>
        <w:spacing w:after="0" w:line="7"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Reconciliation of GAAP net income to Non-GAAP net income and Non-GAAP diluted net income per share</w:t>
      </w:r>
    </w:p>
    <w:p>
      <w:pPr>
        <w:spacing w:after="0" w:line="10" w:lineRule="exact"/>
        <w:rPr>
          <w:sz w:val="20"/>
          <w:szCs w:val="20"/>
          <w:color w:val="auto"/>
        </w:rPr>
      </w:pPr>
    </w:p>
    <w:p>
      <w:pPr>
        <w:jc w:val="center"/>
        <w:ind w:right="-93"/>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ind w:right="-93"/>
        <w:spacing w:after="0"/>
        <w:rPr>
          <w:sz w:val="20"/>
          <w:szCs w:val="20"/>
          <w:color w:val="auto"/>
        </w:rPr>
      </w:pPr>
      <w:r>
        <w:rPr>
          <w:rFonts w:ascii="Arial" w:cs="Arial" w:eastAsia="Arial" w:hAnsi="Arial"/>
          <w:sz w:val="18"/>
          <w:szCs w:val="18"/>
          <w:i w:val="1"/>
          <w:iCs w:val="1"/>
          <w:color w:val="auto"/>
        </w:rPr>
        <w:t>(Unaudited)</w:t>
      </w:r>
    </w:p>
    <w:p>
      <w:pPr>
        <w:spacing w:after="0" w:line="107" w:lineRule="exact"/>
        <w:rPr>
          <w:sz w:val="20"/>
          <w:szCs w:val="20"/>
          <w:color w:val="auto"/>
        </w:rPr>
      </w:pPr>
    </w:p>
    <w:p>
      <w:pPr>
        <w:jc w:val="center"/>
        <w:ind w:left="4220"/>
        <w:spacing w:after="0"/>
        <w:rPr>
          <w:sz w:val="20"/>
          <w:szCs w:val="20"/>
          <w:color w:val="auto"/>
        </w:rPr>
      </w:pPr>
      <w:r>
        <w:rPr>
          <w:rFonts w:ascii="Arial" w:cs="Arial" w:eastAsia="Arial" w:hAnsi="Arial"/>
          <w:sz w:val="18"/>
          <w:szCs w:val="18"/>
          <w:b w:val="1"/>
          <w:bCs w:val="1"/>
          <w:color w:val="auto"/>
        </w:rPr>
        <w:t>Three Months Ended</w:t>
      </w:r>
    </w:p>
    <w:p>
      <w:pPr>
        <w:jc w:val="center"/>
        <w:ind w:left="4220"/>
        <w:spacing w:after="0"/>
        <w:rPr>
          <w:sz w:val="20"/>
          <w:szCs w:val="20"/>
          <w:color w:val="auto"/>
        </w:rPr>
      </w:pPr>
      <w:r>
        <w:rPr>
          <w:rFonts w:ascii="Arial" w:cs="Arial" w:eastAsia="Arial" w:hAnsi="Arial"/>
          <w:sz w:val="18"/>
          <w:szCs w:val="18"/>
          <w:b w:val="1"/>
          <w:bCs w:val="1"/>
          <w:color w:val="auto"/>
        </w:rPr>
        <w:t>March 31,</w:t>
      </w:r>
    </w:p>
    <w:p>
      <w:pPr>
        <w:spacing w:after="0" w:line="3" w:lineRule="exact"/>
        <w:rPr>
          <w:sz w:val="20"/>
          <w:szCs w:val="20"/>
          <w:color w:val="auto"/>
        </w:rPr>
      </w:pPr>
    </w:p>
    <w:tbl>
      <w:tblPr>
        <w:tblLayout w:type="fixed"/>
        <w:tblInd w:w="1814" w:type="dxa"/>
        <w:tblCellMar>
          <w:top w:w="0" w:type="dxa"/>
          <w:left w:w="0" w:type="dxa"/>
          <w:bottom w:w="0" w:type="dxa"/>
          <w:right w:w="0" w:type="dxa"/>
        </w:tblCellMar>
      </w:tblPr>
      <w:tr>
        <w:trPr>
          <w:trHeight w:val="220"/>
        </w:trPr>
        <w:tc>
          <w:tcPr>
            <w:tcW w:w="422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income</w:t>
            </w:r>
          </w:p>
        </w:tc>
        <w:tc>
          <w:tcPr>
            <w:tcW w:w="108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and other expenses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related to real estate assets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Workforce reduction expense</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losses on equity investments</w:t>
            </w:r>
          </w:p>
        </w:tc>
        <w:tc>
          <w:tcPr>
            <w:tcW w:w="10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5"/>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effects of non-GAAP adjustments</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5"/>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108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20" w:type="dxa"/>
            <w:vAlign w:val="bottom"/>
          </w:tcPr>
          <w:p>
            <w:pPr>
              <w:ind w:left="20"/>
              <w:spacing w:after="0" w:line="199" w:lineRule="exact"/>
              <w:rPr>
                <w:sz w:val="20"/>
                <w:szCs w:val="20"/>
                <w:color w:val="auto"/>
              </w:rPr>
            </w:pPr>
            <w:r>
              <w:rPr>
                <w:rFonts w:ascii="Arial" w:cs="Arial" w:eastAsia="Arial" w:hAnsi="Arial"/>
                <w:sz w:val="18"/>
                <w:szCs w:val="18"/>
                <w:color w:val="auto"/>
              </w:rPr>
              <w:t>Non-GAAP diluted net income per share</w:t>
            </w:r>
          </w:p>
        </w:tc>
        <w:tc>
          <w:tcPr>
            <w:tcW w:w="1080" w:type="dxa"/>
            <w:vAlign w:val="bottom"/>
            <w:tcBorders>
              <w:bottom w:val="single" w:sz="8" w:color="auto"/>
            </w:tcBorders>
          </w:tcPr>
          <w:p>
            <w:pPr>
              <w:jc w:val="right"/>
              <w:ind w:right="871"/>
              <w:spacing w:after="0" w:line="199"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0.35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1"/>
              <w:spacing w:after="0" w:line="199"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22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Weighted-average shares used to compute Non-GAAP</w:t>
            </w:r>
          </w:p>
        </w:tc>
        <w:tc>
          <w:tcPr>
            <w:tcW w:w="10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18"/>
        </w:trPr>
        <w:tc>
          <w:tcPr>
            <w:tcW w:w="422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diluted net income per share</w:t>
            </w:r>
          </w:p>
        </w:tc>
        <w:tc>
          <w:tcPr>
            <w:tcW w:w="10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Three Months Ended March 31, 2021 and 2020</w:t>
      </w:r>
    </w:p>
    <w:p>
      <w:pPr>
        <w:spacing w:after="0" w:line="7"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Reconciliation of free cash flow and supplemental cash flow disclosure</w:t>
      </w:r>
    </w:p>
    <w:p>
      <w:pPr>
        <w:spacing w:after="0" w:line="10" w:lineRule="exact"/>
        <w:rPr>
          <w:sz w:val="20"/>
          <w:szCs w:val="20"/>
          <w:color w:val="auto"/>
        </w:rPr>
      </w:pPr>
    </w:p>
    <w:p>
      <w:pPr>
        <w:jc w:val="center"/>
        <w:ind w:right="-93"/>
        <w:spacing w:after="0"/>
        <w:rPr>
          <w:sz w:val="20"/>
          <w:szCs w:val="20"/>
          <w:color w:val="auto"/>
        </w:rPr>
      </w:pPr>
      <w:r>
        <w:rPr>
          <w:rFonts w:ascii="Arial" w:cs="Arial" w:eastAsia="Arial" w:hAnsi="Arial"/>
          <w:sz w:val="18"/>
          <w:szCs w:val="18"/>
          <w:i w:val="1"/>
          <w:iCs w:val="1"/>
          <w:color w:val="auto"/>
        </w:rPr>
        <w:t>(In millions, except for percentages)</w:t>
      </w:r>
    </w:p>
    <w:p>
      <w:pPr>
        <w:spacing w:after="0" w:line="3" w:lineRule="exact"/>
        <w:rPr>
          <w:sz w:val="20"/>
          <w:szCs w:val="20"/>
          <w:color w:val="auto"/>
        </w:rPr>
      </w:pPr>
    </w:p>
    <w:p>
      <w:pPr>
        <w:jc w:val="center"/>
        <w:ind w:right="-93"/>
        <w:spacing w:after="0"/>
        <w:rPr>
          <w:sz w:val="20"/>
          <w:szCs w:val="20"/>
          <w:color w:val="auto"/>
        </w:rPr>
      </w:pPr>
      <w:r>
        <w:rPr>
          <w:rFonts w:ascii="Arial" w:cs="Arial" w:eastAsia="Arial" w:hAnsi="Arial"/>
          <w:sz w:val="18"/>
          <w:szCs w:val="18"/>
          <w:i w:val="1"/>
          <w:iCs w:val="1"/>
          <w:color w:val="auto"/>
        </w:rPr>
        <w:t>(Unaudited)</w:t>
      </w:r>
    </w:p>
    <w:p>
      <w:pPr>
        <w:spacing w:after="0" w:line="107" w:lineRule="exact"/>
        <w:rPr>
          <w:sz w:val="20"/>
          <w:szCs w:val="20"/>
          <w:color w:val="auto"/>
        </w:rPr>
      </w:pPr>
    </w:p>
    <w:p>
      <w:pPr>
        <w:jc w:val="center"/>
        <w:ind w:left="4060"/>
        <w:spacing w:after="0"/>
        <w:rPr>
          <w:sz w:val="20"/>
          <w:szCs w:val="20"/>
          <w:color w:val="auto"/>
        </w:rPr>
      </w:pPr>
      <w:r>
        <w:rPr>
          <w:rFonts w:ascii="Arial" w:cs="Arial" w:eastAsia="Arial" w:hAnsi="Arial"/>
          <w:sz w:val="18"/>
          <w:szCs w:val="18"/>
          <w:b w:val="1"/>
          <w:bCs w:val="1"/>
          <w:color w:val="auto"/>
        </w:rPr>
        <w:t>Three Months Ended</w:t>
      </w:r>
    </w:p>
    <w:p>
      <w:pPr>
        <w:jc w:val="center"/>
        <w:ind w:left="4060"/>
        <w:spacing w:after="0"/>
        <w:rPr>
          <w:sz w:val="20"/>
          <w:szCs w:val="20"/>
          <w:color w:val="auto"/>
        </w:rPr>
      </w:pPr>
      <w:r>
        <w:rPr>
          <w:rFonts w:ascii="Arial" w:cs="Arial" w:eastAsia="Arial" w:hAnsi="Arial"/>
          <w:sz w:val="18"/>
          <w:szCs w:val="18"/>
          <w:b w:val="1"/>
          <w:bCs w:val="1"/>
          <w:color w:val="auto"/>
        </w:rPr>
        <w:t>March 31,</w:t>
      </w:r>
    </w:p>
    <w:p>
      <w:pPr>
        <w:spacing w:after="0" w:line="3" w:lineRule="exact"/>
        <w:rPr>
          <w:sz w:val="20"/>
          <w:szCs w:val="20"/>
          <w:color w:val="auto"/>
        </w:rPr>
      </w:pPr>
    </w:p>
    <w:tbl>
      <w:tblPr>
        <w:tblLayout w:type="fixed"/>
        <w:tblInd w:w="1814" w:type="dxa"/>
        <w:tblCellMar>
          <w:top w:w="0" w:type="dxa"/>
          <w:left w:w="0" w:type="dxa"/>
          <w:bottom w:w="0" w:type="dxa"/>
          <w:right w:w="0" w:type="dxa"/>
        </w:tblCellMar>
      </w:tblPr>
      <w:tr>
        <w:trPr>
          <w:trHeight w:val="220"/>
        </w:trPr>
        <w:tc>
          <w:tcPr>
            <w:tcW w:w="406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6"/>
        </w:trPr>
        <w:tc>
          <w:tcPr>
            <w:tcW w:w="40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Free cash flow reconciliation:</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tcPr>
          <w:p>
            <w:pPr>
              <w:jc w:val="right"/>
              <w:ind w:right="871"/>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31"/>
              <w:spacing w:after="0"/>
              <w:rPr>
                <w:sz w:val="20"/>
                <w:szCs w:val="20"/>
                <w:color w:val="auto"/>
              </w:rPr>
            </w:pPr>
            <w:r>
              <w:rPr>
                <w:rFonts w:ascii="Arial" w:cs="Arial" w:eastAsia="Arial" w:hAnsi="Arial"/>
                <w:sz w:val="18"/>
                <w:szCs w:val="18"/>
                <w:color w:val="auto"/>
                <w:w w:val="88"/>
              </w:rPr>
              <w:t>115.7</w:t>
            </w:r>
          </w:p>
        </w:tc>
        <w:tc>
          <w:tcPr>
            <w:tcW w:w="1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Capital expenditures</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5"/>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08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88"/>
              </w:rPr>
              <w:t>108.8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Free cash flow margin</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6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line="198" w:lineRule="exact"/>
              <w:rPr>
                <w:sz w:val="20"/>
                <w:szCs w:val="20"/>
                <w:color w:val="auto"/>
              </w:rPr>
            </w:pPr>
            <w:r>
              <w:rPr>
                <w:rFonts w:ascii="Arial" w:cs="Arial" w:eastAsia="Arial" w:hAnsi="Arial"/>
                <w:sz w:val="18"/>
                <w:szCs w:val="18"/>
                <w:color w:val="auto"/>
              </w:rPr>
              <w:t>21.3 %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line="198" w:lineRule="exact"/>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60" w:type="dxa"/>
            <w:vAlign w:val="bottom"/>
          </w:tcPr>
          <w:p>
            <w:pPr>
              <w:ind w:left="220"/>
              <w:spacing w:after="0" w:line="173" w:lineRule="exact"/>
              <w:rPr>
                <w:sz w:val="20"/>
                <w:szCs w:val="20"/>
                <w:color w:val="auto"/>
              </w:rPr>
            </w:pPr>
            <w:r>
              <w:rPr>
                <w:rFonts w:ascii="Arial" w:cs="Arial" w:eastAsia="Arial" w:hAnsi="Arial"/>
                <w:sz w:val="18"/>
                <w:szCs w:val="18"/>
                <w:color w:val="auto"/>
                <w:w w:val="99"/>
              </w:rPr>
              <w:t>Key employee holdback payments related to the</w:t>
            </w:r>
          </w:p>
        </w:tc>
        <w:tc>
          <w:tcPr>
            <w:tcW w:w="1080" w:type="dxa"/>
            <w:vAlign w:val="bottom"/>
            <w:vMerge w:val="restart"/>
          </w:tcPr>
          <w:p>
            <w:pPr>
              <w:jc w:val="right"/>
              <w:ind w:right="871"/>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ind w:right="1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400" w:type="dxa"/>
            <w:vAlign w:val="bottom"/>
            <w:vMerge w:val="restart"/>
          </w:tcPr>
          <w:p>
            <w:pPr>
              <w:jc w:val="right"/>
              <w:ind w:right="191"/>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ind w:right="13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4"/>
        </w:trPr>
        <w:tc>
          <w:tcPr>
            <w:tcW w:w="4060" w:type="dxa"/>
            <w:vAlign w:val="bottom"/>
          </w:tcPr>
          <w:p>
            <w:pPr>
              <w:ind w:left="220"/>
              <w:spacing w:after="0" w:line="199" w:lineRule="exact"/>
              <w:rPr>
                <w:sz w:val="20"/>
                <w:szCs w:val="20"/>
                <w:color w:val="auto"/>
              </w:rPr>
            </w:pPr>
            <w:r>
              <w:rPr>
                <w:rFonts w:ascii="Arial" w:cs="Arial" w:eastAsia="Arial" w:hAnsi="Arial"/>
                <w:sz w:val="18"/>
                <w:szCs w:val="18"/>
                <w:color w:val="auto"/>
              </w:rPr>
              <w:t>acquisition of HelloSign</w:t>
            </w:r>
            <w:r>
              <w:rPr>
                <w:rFonts w:ascii="Arial" w:cs="Arial" w:eastAsia="Arial" w:hAnsi="Arial"/>
                <w:sz w:val="23"/>
                <w:szCs w:val="23"/>
                <w:color w:val="auto"/>
                <w:vertAlign w:val="superscript"/>
              </w:rPr>
              <w:t>(1)</w:t>
            </w:r>
          </w:p>
        </w:tc>
        <w:tc>
          <w:tcPr>
            <w:tcW w:w="108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60" w:type="dxa"/>
            <w:vAlign w:val="bottom"/>
            <w:tcBorders>
              <w:bottom w:val="single" w:sz="8" w:color="CCEEFF"/>
            </w:tcBorders>
            <w:shd w:val="clear" w:color="auto" w:fill="CCEEFF"/>
          </w:tcPr>
          <w:p>
            <w:pPr>
              <w:ind w:left="220"/>
              <w:spacing w:after="0" w:line="219" w:lineRule="exact"/>
              <w:rPr>
                <w:sz w:val="20"/>
                <w:szCs w:val="20"/>
                <w:color w:val="auto"/>
              </w:rPr>
            </w:pPr>
            <w:r>
              <w:rPr>
                <w:rFonts w:ascii="Arial" w:cs="Arial" w:eastAsia="Arial" w:hAnsi="Arial"/>
                <w:sz w:val="18"/>
                <w:szCs w:val="18"/>
                <w:color w:val="auto"/>
              </w:rPr>
              <w:t xml:space="preserve">Payments related to workforce reduction </w:t>
            </w:r>
            <w:r>
              <w:rPr>
                <w:rFonts w:ascii="Arial" w:cs="Arial" w:eastAsia="Arial" w:hAnsi="Arial"/>
                <w:sz w:val="23"/>
                <w:szCs w:val="23"/>
                <w:color w:val="auto"/>
                <w:vertAlign w:val="superscript"/>
              </w:rPr>
              <w:t>(2)</w:t>
            </w:r>
          </w:p>
        </w:tc>
        <w:tc>
          <w:tcPr>
            <w:tcW w:w="108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6" w:firstLine="6"/>
        <w:spacing w:after="0" w:line="270" w:lineRule="auto"/>
        <w:tabs>
          <w:tab w:leader="none" w:pos="154"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As part of our acquisition of HelloSign in 2019, we have employee holdback agreements with key HelloSign personnel consisting of $48.5 million in cash payments subject to ongoing employee service. The related expenses are recognized within research and development expenses over the required service period of three years. The payments began in the first quarter of 2020, and will be paid evenly in quarterly installments over the remaining required service period.</w:t>
      </w:r>
    </w:p>
    <w:p>
      <w:pPr>
        <w:spacing w:after="0" w:line="198" w:lineRule="exact"/>
        <w:rPr>
          <w:rFonts w:ascii="Arial" w:cs="Arial" w:eastAsia="Arial" w:hAnsi="Arial"/>
          <w:sz w:val="18"/>
          <w:szCs w:val="18"/>
          <w:color w:val="auto"/>
          <w:vertAlign w:val="superscript"/>
        </w:rPr>
      </w:pPr>
    </w:p>
    <w:p>
      <w:pPr>
        <w:ind w:left="154" w:hanging="154"/>
        <w:spacing w:after="0"/>
        <w:tabs>
          <w:tab w:leader="none" w:pos="154"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payments made related to workforce reduction such as severance, benefits, and other related items.</w:t>
      </w:r>
    </w:p>
    <w:p>
      <w:pPr>
        <w:sectPr>
          <w:pgSz w:w="11900" w:h="16838" w:orient="portrait"/>
          <w:cols w:equalWidth="0" w:num="1">
            <w:col w:w="11154"/>
          </w:cols>
          <w:pgMar w:left="326" w:top="874" w:right="4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About Non-GAAP Financial Measures</w:t>
      </w:r>
    </w:p>
    <w:p>
      <w:pPr>
        <w:spacing w:after="0" w:line="251"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other acquisition-related expenses, which include third-party diligence costs and expenses related to key employee holdback agreements, impairment charges related to real estate assets, and expenses related to our reduction in force. Non-GAAP net income also excludes net gains and losses on equity investments, and includes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For periods that we are in a GAAP net income position, the weighted average shares used in the computation are the same as the shares used in our non-GAAP diluted net income per share computation. In order to present revenue on a constant currency basis for the quarter ended March 31, 2021,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spacing w:after="0" w:line="192"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22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214"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82"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our reduction in workforce and key employee holdback payments related to the acquisition of HelloSign.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220"/>
          </w:cols>
          <w:pgMar w:left="320" w:top="1117"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Portas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ir@dropbox.com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Tessa Chen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press@dropbox.com</w:t>
      </w:r>
    </w:p>
    <w:sectPr>
      <w:pgSz w:w="11900" w:h="16838" w:orient="portrait"/>
      <w:cols w:equalWidth="0" w:num="1">
        <w:col w:w="10139"/>
      </w:cols>
      <w:pgMar w:left="320" w:top="8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lvl>
    <w:lvl w:ilvl="1">
      <w:lvlJc w:val="left"/>
      <w:lvlText w:val="•"/>
      <w:numFmt w:val="bullet"/>
      <w:start w:val="1"/>
    </w:lvl>
  </w:abstractNum>
  <w:abstractNum w:abstractNumId="2">
    <w:nsid w:val="507ED7AB"/>
    <w:multiLevelType w:val="hybridMultilevel"/>
    <w:lvl w:ilvl="0">
      <w:lvlJc w:val="left"/>
      <w:lvlText w:val="(%1)"/>
      <w:numFmt w:val="lowerRoman"/>
      <w:start w:val="1"/>
    </w:lvl>
  </w:abstractNum>
  <w:abstractNum w:abstractNumId="3">
    <w:nsid w:val="2EB141F2"/>
    <w:multiLevelType w:val="hybridMultilevel"/>
    <w:lvl w:ilvl="0">
      <w:lvlJc w:val="left"/>
      <w:lvlText w:val="(%1)"/>
      <w:numFmt w:val="lowerRoman"/>
      <w:start w:val="4"/>
    </w:lvl>
  </w:abstractNum>
  <w:abstractNum w:abstractNumId="4">
    <w:nsid w:val="41B71EFB"/>
    <w:multiLevelType w:val="hybridMultilevel"/>
    <w:lvl w:ilvl="0">
      <w:lvlJc w:val="left"/>
      <w:lvlText w:val="(%1)"/>
      <w:numFmt w:val="lowerRoman"/>
      <w:start w:val="13"/>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2021-05-06T15:26:01Z</dcterms:created>
  <dcterms:modified xsi:type="dcterms:W3CDTF">2021-05-06T15:26:01Z</dcterms:modified>
</cp:coreProperties>
</file>