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92438915.xml.htm"/>
      <w:bookmarkStart w:id="1" w:name="kswkform4a_17924389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Schubach Sarah Elizabeth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HAWTHORNE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755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32.54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132,877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Rule 10b5-1 trading plan adopted by the Reporting Person on June 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original Form 4 reported an incorrect transaction amount.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Certain of these securities are restricted stock units. Each restricted stock unit represents the Reporting Person's right to receive one share of Class A Common Stock, subject to the applicable vesting schedule through February 15, 2030. In the event the Reporting Person ceases to be a Service Provider, the unvested restricted stock units will be cancelled by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Angelmar,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75704" TargetMode="External"/><Relationship Id="rId5" Type="http://schemas.openxmlformats.org/officeDocument/2006/relationships/hyperlink" Target="http://www.sec.gov/cgi-bin/browse-edgar?action=getcompany&amp;CIK=00014676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657</Words>
  <Characters>3575</Characters>
  <CharactersWithSpaces>4162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